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1816" w14:textId="77777777" w:rsidR="00D03D64" w:rsidRDefault="00D450E1">
      <w:pPr>
        <w:tabs>
          <w:tab w:val="center" w:pos="4680"/>
          <w:tab w:val="right" w:pos="9360"/>
        </w:tabs>
        <w:jc w:val="right"/>
        <w:rPr>
          <w:rFonts w:ascii="Gill Sans" w:eastAsia="Gill Sans" w:hAnsi="Gill Sans" w:cs="Gill Sans"/>
          <w:b/>
          <w:color w:val="003B5C"/>
          <w:sz w:val="28"/>
          <w:szCs w:val="28"/>
        </w:rPr>
      </w:pPr>
      <w:r>
        <w:rPr>
          <w:rFonts w:ascii="Gill Sans" w:eastAsia="Gill Sans" w:hAnsi="Gill Sans" w:cs="Gill Sans"/>
          <w:b/>
          <w:color w:val="003B5C"/>
          <w:sz w:val="28"/>
          <w:szCs w:val="28"/>
        </w:rPr>
        <w:t>IRB PROTOCOL GUIDANCE AND CHECKLIST FOR APPLICATION SUBMISSIONS</w:t>
      </w:r>
      <w:r>
        <w:rPr>
          <w:noProof/>
        </w:rPr>
        <w:drawing>
          <wp:anchor distT="0" distB="0" distL="114300" distR="114300" simplePos="0" relativeHeight="251658240" behindDoc="0" locked="0" layoutInCell="1" hidden="0" allowOverlap="1" wp14:anchorId="61FAFD75" wp14:editId="74DA650A">
            <wp:simplePos x="0" y="0"/>
            <wp:positionH relativeFrom="column">
              <wp:posOffset>1</wp:posOffset>
            </wp:positionH>
            <wp:positionV relativeFrom="paragraph">
              <wp:posOffset>6350</wp:posOffset>
            </wp:positionV>
            <wp:extent cx="1433195" cy="621665"/>
            <wp:effectExtent l="0" t="0" r="0" b="0"/>
            <wp:wrapSquare wrapText="bothSides" distT="0" distB="0" distL="114300" distR="114300"/>
            <wp:docPr id="2"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1433195" cy="621665"/>
                    </a:xfrm>
                    <a:prstGeom prst="rect">
                      <a:avLst/>
                    </a:prstGeom>
                    <a:ln/>
                  </pic:spPr>
                </pic:pic>
              </a:graphicData>
            </a:graphic>
          </wp:anchor>
        </w:drawing>
      </w:r>
    </w:p>
    <w:p w14:paraId="6F28B4B1" w14:textId="77777777" w:rsidR="00D03D64" w:rsidRDefault="00D450E1">
      <w:pPr>
        <w:tabs>
          <w:tab w:val="center" w:pos="4680"/>
          <w:tab w:val="right" w:pos="9360"/>
        </w:tabs>
        <w:spacing w:before="120"/>
        <w:jc w:val="right"/>
        <w:rPr>
          <w:rFonts w:ascii="Gill Sans" w:eastAsia="Gill Sans" w:hAnsi="Gill Sans" w:cs="Gill Sans"/>
          <w:b/>
          <w:color w:val="004B87"/>
        </w:rPr>
      </w:pPr>
      <w:r>
        <w:rPr>
          <w:rFonts w:ascii="Gill Sans" w:eastAsia="Gill Sans" w:hAnsi="Gill Sans" w:cs="Gill Sans"/>
          <w:b/>
          <w:color w:val="004B87"/>
        </w:rPr>
        <w:t>INSTITUTIONAL REVIEW BOARD</w:t>
      </w:r>
      <w:r>
        <w:rPr>
          <w:noProof/>
        </w:rPr>
        <mc:AlternateContent>
          <mc:Choice Requires="wpg">
            <w:drawing>
              <wp:anchor distT="0" distB="0" distL="114300" distR="114300" simplePos="0" relativeHeight="251659264" behindDoc="0" locked="0" layoutInCell="1" hidden="0" allowOverlap="1" wp14:anchorId="79633447" wp14:editId="6DD98D8A">
                <wp:simplePos x="0" y="0"/>
                <wp:positionH relativeFrom="column">
                  <wp:posOffset>3022600</wp:posOffset>
                </wp:positionH>
                <wp:positionV relativeFrom="paragraph">
                  <wp:posOffset>0</wp:posOffset>
                </wp:positionV>
                <wp:extent cx="287083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0583" y="3780000"/>
                          <a:ext cx="2870835" cy="0"/>
                        </a:xfrm>
                        <a:prstGeom prst="straightConnector1">
                          <a:avLst/>
                        </a:prstGeom>
                        <a:noFill/>
                        <a:ln w="12700" cap="flat" cmpd="sng">
                          <a:solidFill>
                            <a:srgbClr val="FFC21C"/>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870835" cy="1270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70835" cy="12700"/>
                        </a:xfrm>
                        <a:prstGeom prst="rect"/>
                        <a:ln/>
                      </pic:spPr>
                    </pic:pic>
                  </a:graphicData>
                </a:graphic>
              </wp:anchor>
            </w:drawing>
          </mc:Fallback>
        </mc:AlternateContent>
      </w:r>
    </w:p>
    <w:p w14:paraId="07A8ED0E" w14:textId="77777777" w:rsidR="00D03D64" w:rsidRDefault="00D450E1">
      <w:pPr>
        <w:tabs>
          <w:tab w:val="center" w:pos="4680"/>
          <w:tab w:val="right" w:pos="9360"/>
        </w:tabs>
        <w:jc w:val="right"/>
        <w:rPr>
          <w:rFonts w:ascii="Gill Sans" w:eastAsia="Gill Sans" w:hAnsi="Gill Sans" w:cs="Gill Sans"/>
          <w:b/>
        </w:rPr>
      </w:pPr>
      <w:r>
        <w:rPr>
          <w:rFonts w:ascii="Gill Sans" w:eastAsia="Gill Sans" w:hAnsi="Gill Sans" w:cs="Gill Sans"/>
          <w:b/>
          <w:color w:val="004B87"/>
        </w:rPr>
        <w:t>TEACHERS COLLEGE</w:t>
      </w:r>
    </w:p>
    <w:p w14:paraId="769AE436" w14:textId="77777777" w:rsidR="00D03D64" w:rsidRDefault="00D03D64">
      <w:pPr>
        <w:widowControl w:val="0"/>
        <w:pBdr>
          <w:top w:val="nil"/>
          <w:left w:val="nil"/>
          <w:bottom w:val="nil"/>
          <w:right w:val="nil"/>
          <w:between w:val="nil"/>
        </w:pBdr>
        <w:spacing w:before="232" w:line="240" w:lineRule="auto"/>
        <w:ind w:right="530"/>
        <w:jc w:val="right"/>
        <w:rPr>
          <w:rFonts w:ascii="Times" w:eastAsia="Times" w:hAnsi="Times" w:cs="Times"/>
          <w:b/>
          <w:color w:val="333399"/>
          <w:sz w:val="27"/>
          <w:szCs w:val="27"/>
        </w:rPr>
      </w:pPr>
    </w:p>
    <w:tbl>
      <w:tblPr>
        <w:tblStyle w:val="a"/>
        <w:tblW w:w="9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gridCol w:w="1362"/>
        <w:gridCol w:w="6"/>
      </w:tblGrid>
      <w:tr w:rsidR="00D03D64" w14:paraId="266AA8E8" w14:textId="77777777">
        <w:trPr>
          <w:gridAfter w:val="1"/>
          <w:wAfter w:w="6" w:type="dxa"/>
          <w:trHeight w:val="321"/>
        </w:trPr>
        <w:tc>
          <w:tcPr>
            <w:tcW w:w="9282" w:type="dxa"/>
            <w:gridSpan w:val="2"/>
            <w:shd w:val="clear" w:color="auto" w:fill="003A5C"/>
            <w:tcMar>
              <w:top w:w="100" w:type="dxa"/>
              <w:left w:w="100" w:type="dxa"/>
              <w:bottom w:w="100" w:type="dxa"/>
              <w:right w:w="100" w:type="dxa"/>
            </w:tcMar>
          </w:tcPr>
          <w:p w14:paraId="2F31D950" w14:textId="77777777" w:rsidR="00D03D64" w:rsidRDefault="00D450E1">
            <w:pPr>
              <w:widowControl w:val="0"/>
              <w:pBdr>
                <w:top w:val="nil"/>
                <w:left w:val="nil"/>
                <w:bottom w:val="nil"/>
                <w:right w:val="nil"/>
                <w:between w:val="nil"/>
              </w:pBdr>
              <w:tabs>
                <w:tab w:val="left" w:pos="3790"/>
              </w:tabs>
              <w:jc w:val="center"/>
              <w:rPr>
                <w:rFonts w:ascii="Gill Sans" w:eastAsia="Gill Sans" w:hAnsi="Gill Sans" w:cs="Gill Sans"/>
                <w:b/>
                <w:color w:val="FFFFFF"/>
                <w:sz w:val="28"/>
                <w:szCs w:val="28"/>
              </w:rPr>
            </w:pPr>
            <w:r>
              <w:rPr>
                <w:rFonts w:ascii="Gill Sans" w:eastAsia="Gill Sans" w:hAnsi="Gill Sans" w:cs="Gill Sans"/>
                <w:b/>
                <w:color w:val="FFFFFF"/>
                <w:sz w:val="28"/>
                <w:szCs w:val="28"/>
              </w:rPr>
              <w:t>IRB Protocol Guidance and Checklist for Application Submissions</w:t>
            </w:r>
          </w:p>
        </w:tc>
      </w:tr>
      <w:tr w:rsidR="00D03D64" w14:paraId="6C078700" w14:textId="77777777">
        <w:trPr>
          <w:trHeight w:val="288"/>
        </w:trPr>
        <w:tc>
          <w:tcPr>
            <w:tcW w:w="7920" w:type="dxa"/>
            <w:shd w:val="clear" w:color="auto" w:fill="auto"/>
            <w:tcMar>
              <w:top w:w="100" w:type="dxa"/>
              <w:left w:w="100" w:type="dxa"/>
              <w:bottom w:w="100" w:type="dxa"/>
              <w:right w:w="100" w:type="dxa"/>
            </w:tcMar>
            <w:vAlign w:val="center"/>
          </w:tcPr>
          <w:p w14:paraId="64DE93C3" w14:textId="77777777" w:rsidR="00D03D64" w:rsidRDefault="00D450E1">
            <w:pPr>
              <w:widowControl w:val="0"/>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Purpose of Your Research with Human Subjects</w:t>
            </w:r>
          </w:p>
        </w:tc>
        <w:tc>
          <w:tcPr>
            <w:tcW w:w="1368" w:type="dxa"/>
            <w:gridSpan w:val="2"/>
            <w:shd w:val="clear" w:color="auto" w:fill="auto"/>
            <w:vAlign w:val="center"/>
          </w:tcPr>
          <w:p w14:paraId="49D7849E" w14:textId="77777777" w:rsidR="00D03D64" w:rsidRDefault="00D450E1">
            <w:pPr>
              <w:widowControl w:val="0"/>
              <w:pBdr>
                <w:top w:val="nil"/>
                <w:left w:val="nil"/>
                <w:bottom w:val="nil"/>
                <w:right w:val="nil"/>
                <w:between w:val="nil"/>
              </w:pBdr>
              <w:jc w:val="center"/>
              <w:rPr>
                <w:rFonts w:ascii="Garamond" w:eastAsia="Garamond" w:hAnsi="Garamond" w:cs="Garamond"/>
                <w:b/>
                <w:color w:val="000000"/>
              </w:rPr>
            </w:pPr>
            <w:r>
              <w:rPr>
                <w:rFonts w:ascii="Garamond" w:eastAsia="Garamond" w:hAnsi="Garamond" w:cs="Garamond"/>
                <w:b/>
                <w:color w:val="000000"/>
              </w:rPr>
              <w:t xml:space="preserve">Yes, </w:t>
            </w:r>
            <w:proofErr w:type="gramStart"/>
            <w:r>
              <w:rPr>
                <w:rFonts w:ascii="Garamond" w:eastAsia="Garamond" w:hAnsi="Garamond" w:cs="Garamond"/>
                <w:b/>
                <w:color w:val="000000"/>
              </w:rPr>
              <w:t>No</w:t>
            </w:r>
            <w:proofErr w:type="gramEnd"/>
            <w:r>
              <w:rPr>
                <w:rFonts w:ascii="Garamond" w:eastAsia="Garamond" w:hAnsi="Garamond" w:cs="Garamond"/>
                <w:b/>
                <w:color w:val="000000"/>
              </w:rPr>
              <w:t>, or N/A</w:t>
            </w:r>
          </w:p>
        </w:tc>
      </w:tr>
      <w:tr w:rsidR="00D03D64" w14:paraId="778C7AC0" w14:textId="77777777">
        <w:trPr>
          <w:trHeight w:val="144"/>
        </w:trPr>
        <w:tc>
          <w:tcPr>
            <w:tcW w:w="7920" w:type="dxa"/>
            <w:vMerge w:val="restart"/>
            <w:shd w:val="clear" w:color="auto" w:fill="auto"/>
            <w:tcMar>
              <w:top w:w="100" w:type="dxa"/>
              <w:left w:w="100" w:type="dxa"/>
              <w:bottom w:w="100" w:type="dxa"/>
              <w:right w:w="100" w:type="dxa"/>
            </w:tcMar>
          </w:tcPr>
          <w:p w14:paraId="77D2F086" w14:textId="77777777" w:rsidR="00D03D64" w:rsidRDefault="00D450E1">
            <w:pPr>
              <w:widowControl w:val="0"/>
              <w:numPr>
                <w:ilvl w:val="0"/>
                <w:numId w:val="6"/>
              </w:numPr>
              <w:pBdr>
                <w:top w:val="nil"/>
                <w:left w:val="nil"/>
                <w:bottom w:val="nil"/>
                <w:right w:val="nil"/>
                <w:between w:val="nil"/>
              </w:pBdr>
              <w:spacing w:line="276" w:lineRule="auto"/>
              <w:ind w:right="-90"/>
              <w:rPr>
                <w:rFonts w:ascii="Garamond" w:eastAsia="Garamond" w:hAnsi="Garamond" w:cs="Garamond"/>
                <w:color w:val="000000"/>
              </w:rPr>
            </w:pPr>
            <w:r>
              <w:rPr>
                <w:rFonts w:ascii="Garamond" w:eastAsia="Garamond" w:hAnsi="Garamond" w:cs="Garamond"/>
                <w:color w:val="000000"/>
              </w:rPr>
              <w:t xml:space="preserve">State the </w:t>
            </w:r>
            <w:hyperlink r:id="rId9">
              <w:r>
                <w:rPr>
                  <w:rFonts w:ascii="Garamond" w:eastAsia="Garamond" w:hAnsi="Garamond" w:cs="Garamond"/>
                  <w:color w:val="1155CC"/>
                  <w:u w:val="single"/>
                </w:rPr>
                <w:t>purpose of your research</w:t>
              </w:r>
            </w:hyperlink>
            <w:r>
              <w:rPr>
                <w:rFonts w:ascii="Garamond" w:eastAsia="Garamond" w:hAnsi="Garamond" w:cs="Garamond"/>
                <w:color w:val="000000"/>
              </w:rPr>
              <w:t xml:space="preserve"> and provide a clear description of the study.</w:t>
            </w:r>
          </w:p>
          <w:p w14:paraId="726249AD" w14:textId="77777777" w:rsidR="00D03D64" w:rsidRDefault="00000000">
            <w:pPr>
              <w:widowControl w:val="0"/>
              <w:numPr>
                <w:ilvl w:val="0"/>
                <w:numId w:val="6"/>
              </w:numPr>
              <w:pBdr>
                <w:top w:val="nil"/>
                <w:left w:val="nil"/>
                <w:bottom w:val="nil"/>
                <w:right w:val="nil"/>
                <w:between w:val="nil"/>
              </w:pBdr>
              <w:spacing w:line="276" w:lineRule="auto"/>
              <w:ind w:right="-90"/>
              <w:rPr>
                <w:rFonts w:ascii="Garamond" w:eastAsia="Garamond" w:hAnsi="Garamond" w:cs="Garamond"/>
                <w:color w:val="000000"/>
              </w:rPr>
            </w:pPr>
            <w:hyperlink r:id="rId10">
              <w:r w:rsidR="00D450E1">
                <w:rPr>
                  <w:rFonts w:ascii="Garamond" w:eastAsia="Garamond" w:hAnsi="Garamond" w:cs="Garamond"/>
                  <w:color w:val="1155CC"/>
                  <w:u w:val="single"/>
                </w:rPr>
                <w:t>List your research question(s) and what you hope to discover</w:t>
              </w:r>
            </w:hyperlink>
            <w:r w:rsidR="00D450E1">
              <w:rPr>
                <w:rFonts w:ascii="Garamond" w:eastAsia="Garamond" w:hAnsi="Garamond" w:cs="Garamond"/>
                <w:color w:val="000000"/>
              </w:rPr>
              <w:t>.</w:t>
            </w:r>
          </w:p>
          <w:p w14:paraId="3FB15B92" w14:textId="77777777" w:rsidR="00D03D64" w:rsidRDefault="00D450E1">
            <w:pPr>
              <w:widowControl w:val="0"/>
              <w:numPr>
                <w:ilvl w:val="0"/>
                <w:numId w:val="6"/>
              </w:numPr>
              <w:pBdr>
                <w:top w:val="nil"/>
                <w:left w:val="nil"/>
                <w:bottom w:val="nil"/>
                <w:right w:val="nil"/>
                <w:between w:val="nil"/>
              </w:pBdr>
              <w:spacing w:line="276" w:lineRule="auto"/>
              <w:ind w:right="-90"/>
              <w:rPr>
                <w:rFonts w:ascii="Garamond" w:eastAsia="Garamond" w:hAnsi="Garamond" w:cs="Garamond"/>
                <w:color w:val="000000"/>
              </w:rPr>
            </w:pPr>
            <w:r>
              <w:rPr>
                <w:rFonts w:ascii="Garamond" w:eastAsia="Garamond" w:hAnsi="Garamond" w:cs="Garamond"/>
                <w:color w:val="000000"/>
              </w:rPr>
              <w:t>Define any technical terms and/or acronyms. Avoid jargon, complex phrases, or confusing descriptions.</w:t>
            </w:r>
          </w:p>
        </w:tc>
        <w:tc>
          <w:tcPr>
            <w:tcW w:w="1368" w:type="dxa"/>
            <w:gridSpan w:val="2"/>
            <w:shd w:val="clear" w:color="auto" w:fill="auto"/>
            <w:tcMar>
              <w:top w:w="100" w:type="dxa"/>
              <w:left w:w="100" w:type="dxa"/>
              <w:bottom w:w="100" w:type="dxa"/>
              <w:right w:w="100" w:type="dxa"/>
            </w:tcMar>
            <w:vAlign w:val="center"/>
          </w:tcPr>
          <w:p w14:paraId="1212D545"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25076659" w14:textId="77777777">
        <w:trPr>
          <w:trHeight w:val="144"/>
        </w:trPr>
        <w:tc>
          <w:tcPr>
            <w:tcW w:w="7920" w:type="dxa"/>
            <w:vMerge/>
            <w:shd w:val="clear" w:color="auto" w:fill="auto"/>
            <w:tcMar>
              <w:top w:w="100" w:type="dxa"/>
              <w:left w:w="100" w:type="dxa"/>
              <w:bottom w:w="100" w:type="dxa"/>
              <w:right w:w="100" w:type="dxa"/>
            </w:tcMar>
          </w:tcPr>
          <w:p w14:paraId="634E0AEA"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440593E4"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3336AF8B" w14:textId="77777777">
        <w:trPr>
          <w:trHeight w:val="288"/>
        </w:trPr>
        <w:tc>
          <w:tcPr>
            <w:tcW w:w="7920" w:type="dxa"/>
            <w:vMerge/>
            <w:shd w:val="clear" w:color="auto" w:fill="auto"/>
            <w:tcMar>
              <w:top w:w="100" w:type="dxa"/>
              <w:left w:w="100" w:type="dxa"/>
              <w:bottom w:w="100" w:type="dxa"/>
              <w:right w:w="100" w:type="dxa"/>
            </w:tcMar>
          </w:tcPr>
          <w:p w14:paraId="27EE39FA"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7932F6E5"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1D2C87D4" w14:textId="77777777">
        <w:trPr>
          <w:gridAfter w:val="1"/>
          <w:wAfter w:w="6" w:type="dxa"/>
          <w:trHeight w:val="288"/>
        </w:trPr>
        <w:tc>
          <w:tcPr>
            <w:tcW w:w="9282" w:type="dxa"/>
            <w:gridSpan w:val="2"/>
            <w:shd w:val="clear" w:color="auto" w:fill="auto"/>
            <w:tcMar>
              <w:top w:w="100" w:type="dxa"/>
              <w:left w:w="100" w:type="dxa"/>
              <w:bottom w:w="100" w:type="dxa"/>
              <w:right w:w="100" w:type="dxa"/>
            </w:tcMar>
            <w:vAlign w:val="center"/>
          </w:tcPr>
          <w:p w14:paraId="53F9472E" w14:textId="77777777" w:rsidR="00D03D64" w:rsidRDefault="00D450E1">
            <w:pPr>
              <w:widowControl w:val="0"/>
              <w:pBdr>
                <w:top w:val="nil"/>
                <w:left w:val="nil"/>
                <w:bottom w:val="nil"/>
                <w:right w:val="nil"/>
                <w:between w:val="nil"/>
              </w:pBdr>
              <w:rPr>
                <w:rFonts w:ascii="Times" w:eastAsia="Times" w:hAnsi="Times" w:cs="Times"/>
                <w:b/>
                <w:color w:val="000000"/>
                <w:sz w:val="24"/>
                <w:szCs w:val="24"/>
              </w:rPr>
            </w:pPr>
            <w:r>
              <w:rPr>
                <w:rFonts w:ascii="Garamond" w:eastAsia="Garamond" w:hAnsi="Garamond" w:cs="Garamond"/>
                <w:b/>
                <w:color w:val="000000"/>
              </w:rPr>
              <w:t>Study Activities</w:t>
            </w:r>
          </w:p>
        </w:tc>
      </w:tr>
      <w:tr w:rsidR="00D03D64" w14:paraId="7852C389" w14:textId="77777777">
        <w:trPr>
          <w:trHeight w:val="1008"/>
        </w:trPr>
        <w:tc>
          <w:tcPr>
            <w:tcW w:w="7920" w:type="dxa"/>
            <w:vMerge w:val="restart"/>
            <w:shd w:val="clear" w:color="auto" w:fill="auto"/>
            <w:tcMar>
              <w:top w:w="100" w:type="dxa"/>
              <w:left w:w="100" w:type="dxa"/>
              <w:bottom w:w="100" w:type="dxa"/>
              <w:right w:w="100" w:type="dxa"/>
            </w:tcMar>
          </w:tcPr>
          <w:p w14:paraId="50639ADE" w14:textId="77777777" w:rsidR="00D03D64" w:rsidRDefault="00D450E1">
            <w:pPr>
              <w:widowControl w:val="0"/>
              <w:numPr>
                <w:ilvl w:val="0"/>
                <w:numId w:val="7"/>
              </w:numPr>
              <w:pBdr>
                <w:top w:val="nil"/>
                <w:left w:val="nil"/>
                <w:bottom w:val="nil"/>
                <w:right w:val="nil"/>
                <w:between w:val="nil"/>
              </w:pBdr>
              <w:spacing w:line="276" w:lineRule="auto"/>
              <w:ind w:right="150"/>
              <w:rPr>
                <w:rFonts w:ascii="Garamond" w:eastAsia="Garamond" w:hAnsi="Garamond" w:cs="Garamond"/>
                <w:color w:val="000000"/>
              </w:rPr>
            </w:pPr>
            <w:r>
              <w:rPr>
                <w:rFonts w:ascii="Garamond" w:eastAsia="Garamond" w:hAnsi="Garamond" w:cs="Garamond"/>
                <w:color w:val="000000"/>
              </w:rPr>
              <w:t xml:space="preserve">In the application and on the </w:t>
            </w:r>
            <w:hyperlink r:id="rId11">
              <w:r>
                <w:rPr>
                  <w:rFonts w:ascii="Garamond" w:eastAsia="Garamond" w:hAnsi="Garamond" w:cs="Garamond"/>
                  <w:color w:val="0000FF"/>
                  <w:u w:val="single"/>
                </w:rPr>
                <w:t>consent form(s)</w:t>
              </w:r>
            </w:hyperlink>
            <w:r>
              <w:rPr>
                <w:rFonts w:ascii="Garamond" w:eastAsia="Garamond" w:hAnsi="Garamond" w:cs="Garamond"/>
                <w:color w:val="000000"/>
              </w:rPr>
              <w:t>, clearly describe each activity the participants will be asked to do, how long each activity will take, how often they will engage in them, and over what period (provide an estimated total time). This time allotment should be consistent across all documentation.</w:t>
            </w:r>
          </w:p>
          <w:p w14:paraId="18392219" w14:textId="77777777" w:rsidR="00D03D64" w:rsidRDefault="00000000">
            <w:pPr>
              <w:widowControl w:val="0"/>
              <w:numPr>
                <w:ilvl w:val="0"/>
                <w:numId w:val="7"/>
              </w:numPr>
              <w:pBdr>
                <w:top w:val="nil"/>
                <w:left w:val="nil"/>
                <w:bottom w:val="nil"/>
                <w:right w:val="nil"/>
                <w:between w:val="nil"/>
              </w:pBdr>
              <w:spacing w:line="276" w:lineRule="auto"/>
              <w:ind w:right="174"/>
              <w:rPr>
                <w:rFonts w:ascii="Times New Roman" w:eastAsia="Times New Roman" w:hAnsi="Times New Roman" w:cs="Times New Roman"/>
                <w:color w:val="000000"/>
              </w:rPr>
            </w:pPr>
            <w:hyperlink r:id="rId12">
              <w:r w:rsidR="00D450E1">
                <w:rPr>
                  <w:rFonts w:ascii="Garamond" w:eastAsia="Garamond" w:hAnsi="Garamond" w:cs="Garamond"/>
                  <w:color w:val="1155CC"/>
                  <w:u w:val="single"/>
                </w:rPr>
                <w:t>Describe what data you will collect</w:t>
              </w:r>
            </w:hyperlink>
            <w:r w:rsidR="00D450E1">
              <w:rPr>
                <w:rFonts w:ascii="Garamond" w:eastAsia="Garamond" w:hAnsi="Garamond" w:cs="Garamond"/>
                <w:color w:val="000000"/>
              </w:rPr>
              <w:t xml:space="preserve"> (e.g., responses to an online survey).</w:t>
            </w:r>
          </w:p>
          <w:p w14:paraId="62DDDEB0" w14:textId="77777777" w:rsidR="00D03D64" w:rsidRDefault="00D450E1">
            <w:pPr>
              <w:widowControl w:val="0"/>
              <w:numPr>
                <w:ilvl w:val="0"/>
                <w:numId w:val="7"/>
              </w:numPr>
              <w:pBdr>
                <w:top w:val="nil"/>
                <w:left w:val="nil"/>
                <w:bottom w:val="nil"/>
                <w:right w:val="nil"/>
                <w:between w:val="nil"/>
              </w:pBdr>
              <w:spacing w:line="276" w:lineRule="auto"/>
              <w:ind w:right="174"/>
              <w:rPr>
                <w:rFonts w:ascii="Times New Roman" w:eastAsia="Times New Roman" w:hAnsi="Times New Roman" w:cs="Times New Roman"/>
                <w:color w:val="000000"/>
              </w:rPr>
            </w:pPr>
            <w:r>
              <w:rPr>
                <w:rFonts w:ascii="Garamond" w:eastAsia="Garamond" w:hAnsi="Garamond" w:cs="Garamond"/>
                <w:color w:val="000000"/>
              </w:rPr>
              <w:t>Itemize how often and for how long participants will be asked to do each study activity.</w:t>
            </w:r>
          </w:p>
          <w:p w14:paraId="74B4FC52" w14:textId="77777777" w:rsidR="00D03D64" w:rsidRDefault="00D450E1">
            <w:pPr>
              <w:widowControl w:val="0"/>
              <w:numPr>
                <w:ilvl w:val="0"/>
                <w:numId w:val="7"/>
              </w:numPr>
              <w:pBdr>
                <w:top w:val="nil"/>
                <w:left w:val="nil"/>
                <w:bottom w:val="nil"/>
                <w:right w:val="nil"/>
                <w:between w:val="nil"/>
              </w:pBdr>
              <w:spacing w:line="276" w:lineRule="auto"/>
              <w:ind w:right="174"/>
              <w:rPr>
                <w:rFonts w:ascii="Garamond" w:eastAsia="Garamond" w:hAnsi="Garamond" w:cs="Garamond"/>
                <w:color w:val="000000"/>
              </w:rPr>
            </w:pPr>
            <w:r>
              <w:rPr>
                <w:rFonts w:ascii="Garamond" w:eastAsia="Garamond" w:hAnsi="Garamond" w:cs="Garamond"/>
                <w:color w:val="000000"/>
              </w:rPr>
              <w:t>Describe the duration of the study (e.g., one week).</w:t>
            </w:r>
          </w:p>
        </w:tc>
        <w:tc>
          <w:tcPr>
            <w:tcW w:w="1368" w:type="dxa"/>
            <w:gridSpan w:val="2"/>
            <w:shd w:val="clear" w:color="auto" w:fill="auto"/>
            <w:tcMar>
              <w:top w:w="100" w:type="dxa"/>
              <w:left w:w="100" w:type="dxa"/>
              <w:bottom w:w="100" w:type="dxa"/>
              <w:right w:w="100" w:type="dxa"/>
            </w:tcMar>
            <w:vAlign w:val="center"/>
          </w:tcPr>
          <w:p w14:paraId="5E40D5B1"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20EAE789" w14:textId="77777777">
        <w:trPr>
          <w:trHeight w:val="288"/>
        </w:trPr>
        <w:tc>
          <w:tcPr>
            <w:tcW w:w="7920" w:type="dxa"/>
            <w:vMerge/>
            <w:shd w:val="clear" w:color="auto" w:fill="auto"/>
            <w:tcMar>
              <w:top w:w="100" w:type="dxa"/>
              <w:left w:w="100" w:type="dxa"/>
              <w:bottom w:w="100" w:type="dxa"/>
              <w:right w:w="100" w:type="dxa"/>
            </w:tcMar>
          </w:tcPr>
          <w:p w14:paraId="1A244F9D"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7E0F02C9"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7CEFAC5F" w14:textId="77777777">
        <w:trPr>
          <w:trHeight w:val="288"/>
        </w:trPr>
        <w:tc>
          <w:tcPr>
            <w:tcW w:w="7920" w:type="dxa"/>
            <w:vMerge/>
            <w:shd w:val="clear" w:color="auto" w:fill="auto"/>
            <w:tcMar>
              <w:top w:w="100" w:type="dxa"/>
              <w:left w:w="100" w:type="dxa"/>
              <w:bottom w:w="100" w:type="dxa"/>
              <w:right w:w="100" w:type="dxa"/>
            </w:tcMar>
          </w:tcPr>
          <w:p w14:paraId="6EC138D3"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05ADF07D" w14:textId="77777777" w:rsidR="00D03D64" w:rsidRDefault="00D03D64">
            <w:pPr>
              <w:widowControl w:val="0"/>
              <w:pBdr>
                <w:top w:val="nil"/>
                <w:left w:val="nil"/>
                <w:bottom w:val="nil"/>
                <w:right w:val="nil"/>
                <w:between w:val="nil"/>
              </w:pBdr>
              <w:ind w:right="10"/>
              <w:jc w:val="center"/>
              <w:rPr>
                <w:rFonts w:ascii="Garamond" w:eastAsia="Garamond" w:hAnsi="Garamond" w:cs="Garamond"/>
                <w:color w:val="010101"/>
              </w:rPr>
            </w:pPr>
          </w:p>
        </w:tc>
      </w:tr>
      <w:tr w:rsidR="00D03D64" w14:paraId="65C3D245" w14:textId="77777777">
        <w:trPr>
          <w:trHeight w:val="288"/>
        </w:trPr>
        <w:tc>
          <w:tcPr>
            <w:tcW w:w="7920" w:type="dxa"/>
            <w:vMerge/>
            <w:shd w:val="clear" w:color="auto" w:fill="auto"/>
            <w:tcMar>
              <w:top w:w="100" w:type="dxa"/>
              <w:left w:w="100" w:type="dxa"/>
              <w:bottom w:w="100" w:type="dxa"/>
              <w:right w:w="100" w:type="dxa"/>
            </w:tcMar>
          </w:tcPr>
          <w:p w14:paraId="11B4A4DC" w14:textId="77777777" w:rsidR="00D03D64" w:rsidRDefault="00D03D64">
            <w:pPr>
              <w:widowControl w:val="0"/>
              <w:pBdr>
                <w:top w:val="nil"/>
                <w:left w:val="nil"/>
                <w:bottom w:val="nil"/>
                <w:right w:val="nil"/>
                <w:between w:val="nil"/>
              </w:pBdr>
              <w:spacing w:line="276" w:lineRule="auto"/>
              <w:rPr>
                <w:rFonts w:ascii="Garamond" w:eastAsia="Garamond" w:hAnsi="Garamond" w:cs="Garamond"/>
                <w:color w:val="010101"/>
              </w:rPr>
            </w:pPr>
          </w:p>
        </w:tc>
        <w:tc>
          <w:tcPr>
            <w:tcW w:w="1368" w:type="dxa"/>
            <w:gridSpan w:val="2"/>
            <w:shd w:val="clear" w:color="auto" w:fill="auto"/>
            <w:vAlign w:val="center"/>
          </w:tcPr>
          <w:p w14:paraId="5A255892" w14:textId="77777777" w:rsidR="00D03D64" w:rsidRDefault="00D03D64">
            <w:pPr>
              <w:widowControl w:val="0"/>
              <w:pBdr>
                <w:top w:val="nil"/>
                <w:left w:val="nil"/>
                <w:bottom w:val="nil"/>
                <w:right w:val="nil"/>
                <w:between w:val="nil"/>
              </w:pBdr>
              <w:jc w:val="center"/>
              <w:rPr>
                <w:rFonts w:ascii="Garamond" w:eastAsia="Garamond" w:hAnsi="Garamond" w:cs="Garamond"/>
                <w:b/>
                <w:color w:val="000000"/>
              </w:rPr>
            </w:pPr>
          </w:p>
        </w:tc>
      </w:tr>
      <w:tr w:rsidR="00D03D64" w14:paraId="0FAA6CBA" w14:textId="77777777">
        <w:trPr>
          <w:gridAfter w:val="1"/>
          <w:wAfter w:w="6" w:type="dxa"/>
          <w:trHeight w:val="288"/>
        </w:trPr>
        <w:tc>
          <w:tcPr>
            <w:tcW w:w="9282" w:type="dxa"/>
            <w:gridSpan w:val="2"/>
            <w:shd w:val="clear" w:color="auto" w:fill="auto"/>
            <w:tcMar>
              <w:top w:w="100" w:type="dxa"/>
              <w:left w:w="100" w:type="dxa"/>
              <w:bottom w:w="100" w:type="dxa"/>
              <w:right w:w="100" w:type="dxa"/>
            </w:tcMar>
            <w:vAlign w:val="center"/>
          </w:tcPr>
          <w:p w14:paraId="24669D39" w14:textId="77777777" w:rsidR="00D03D64" w:rsidRDefault="00D450E1">
            <w:pPr>
              <w:widowControl w:val="0"/>
              <w:pBdr>
                <w:top w:val="nil"/>
                <w:left w:val="nil"/>
                <w:bottom w:val="nil"/>
                <w:right w:val="nil"/>
                <w:between w:val="nil"/>
              </w:pBdr>
              <w:rPr>
                <w:rFonts w:ascii="Times" w:eastAsia="Times" w:hAnsi="Times" w:cs="Times"/>
                <w:b/>
                <w:color w:val="000000"/>
                <w:sz w:val="24"/>
                <w:szCs w:val="24"/>
              </w:rPr>
            </w:pPr>
            <w:r>
              <w:rPr>
                <w:rFonts w:ascii="Garamond" w:eastAsia="Garamond" w:hAnsi="Garamond" w:cs="Garamond"/>
                <w:b/>
                <w:color w:val="000000"/>
              </w:rPr>
              <w:t>Research Participants</w:t>
            </w:r>
          </w:p>
        </w:tc>
      </w:tr>
      <w:tr w:rsidR="00D03D64" w14:paraId="6B594FA4" w14:textId="77777777">
        <w:trPr>
          <w:trHeight w:val="720"/>
        </w:trPr>
        <w:tc>
          <w:tcPr>
            <w:tcW w:w="7920" w:type="dxa"/>
            <w:vMerge w:val="restart"/>
            <w:shd w:val="clear" w:color="auto" w:fill="auto"/>
            <w:tcMar>
              <w:top w:w="100" w:type="dxa"/>
              <w:left w:w="100" w:type="dxa"/>
              <w:bottom w:w="100" w:type="dxa"/>
              <w:right w:w="100" w:type="dxa"/>
            </w:tcMar>
          </w:tcPr>
          <w:p w14:paraId="1819C6F5" w14:textId="77777777" w:rsidR="00D03D64" w:rsidRDefault="00D450E1">
            <w:pPr>
              <w:widowControl w:val="0"/>
              <w:numPr>
                <w:ilvl w:val="0"/>
                <w:numId w:val="8"/>
              </w:numPr>
              <w:pBdr>
                <w:top w:val="nil"/>
                <w:left w:val="nil"/>
                <w:bottom w:val="nil"/>
                <w:right w:val="nil"/>
                <w:between w:val="nil"/>
              </w:pBdr>
              <w:spacing w:line="276" w:lineRule="auto"/>
              <w:ind w:right="185" w:hanging="360"/>
              <w:rPr>
                <w:rFonts w:ascii="Garamond" w:eastAsia="Garamond" w:hAnsi="Garamond" w:cs="Garamond"/>
                <w:color w:val="000000"/>
              </w:rPr>
            </w:pPr>
            <w:r>
              <w:rPr>
                <w:rFonts w:ascii="Garamond" w:eastAsia="Garamond" w:hAnsi="Garamond" w:cs="Garamond"/>
                <w:color w:val="000000"/>
              </w:rPr>
              <w:t>Describe in detail the characteristics of your participant population, including relevant information such as age, gender, ethnic background, language(s) spoken, any disabilities, health, and/or socio-economic status (SES).</w:t>
            </w:r>
          </w:p>
          <w:p w14:paraId="2FF25F00" w14:textId="77777777" w:rsidR="00D03D64" w:rsidRDefault="00D450E1">
            <w:pPr>
              <w:widowControl w:val="0"/>
              <w:numPr>
                <w:ilvl w:val="0"/>
                <w:numId w:val="8"/>
              </w:numPr>
              <w:pBdr>
                <w:top w:val="nil"/>
                <w:left w:val="nil"/>
                <w:bottom w:val="nil"/>
                <w:right w:val="nil"/>
                <w:between w:val="nil"/>
              </w:pBdr>
              <w:spacing w:line="276" w:lineRule="auto"/>
              <w:ind w:right="185" w:hanging="360"/>
              <w:rPr>
                <w:rFonts w:ascii="Garamond" w:eastAsia="Garamond" w:hAnsi="Garamond" w:cs="Garamond"/>
                <w:color w:val="000000"/>
              </w:rPr>
            </w:pPr>
            <w:r>
              <w:rPr>
                <w:rFonts w:ascii="Garamond" w:eastAsia="Garamond" w:hAnsi="Garamond" w:cs="Garamond"/>
                <w:color w:val="000000"/>
              </w:rPr>
              <w:t>Indicate the maximum number of participants that will be in your study.</w:t>
            </w:r>
          </w:p>
          <w:p w14:paraId="00334D1C" w14:textId="77777777" w:rsidR="00D03D64" w:rsidRDefault="00D450E1">
            <w:pPr>
              <w:widowControl w:val="0"/>
              <w:numPr>
                <w:ilvl w:val="0"/>
                <w:numId w:val="8"/>
              </w:numPr>
              <w:pBdr>
                <w:top w:val="nil"/>
                <w:left w:val="nil"/>
                <w:bottom w:val="nil"/>
                <w:right w:val="nil"/>
                <w:between w:val="nil"/>
              </w:pBdr>
              <w:spacing w:line="276" w:lineRule="auto"/>
              <w:ind w:right="185" w:hanging="360"/>
              <w:rPr>
                <w:rFonts w:ascii="Garamond" w:eastAsia="Garamond" w:hAnsi="Garamond" w:cs="Garamond"/>
                <w:color w:val="000000"/>
              </w:rPr>
            </w:pPr>
            <w:r>
              <w:rPr>
                <w:rFonts w:ascii="Garamond" w:eastAsia="Garamond" w:hAnsi="Garamond" w:cs="Garamond"/>
                <w:color w:val="000000"/>
              </w:rPr>
              <w:t>Include a statement about your study population and how your research applies to them.</w:t>
            </w:r>
          </w:p>
        </w:tc>
        <w:tc>
          <w:tcPr>
            <w:tcW w:w="1368" w:type="dxa"/>
            <w:gridSpan w:val="2"/>
            <w:shd w:val="clear" w:color="auto" w:fill="auto"/>
            <w:tcMar>
              <w:top w:w="100" w:type="dxa"/>
              <w:left w:w="100" w:type="dxa"/>
              <w:bottom w:w="100" w:type="dxa"/>
              <w:right w:w="100" w:type="dxa"/>
            </w:tcMar>
            <w:vAlign w:val="center"/>
          </w:tcPr>
          <w:p w14:paraId="4B21D0EF"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472B1472" w14:textId="77777777">
        <w:trPr>
          <w:trHeight w:val="144"/>
        </w:trPr>
        <w:tc>
          <w:tcPr>
            <w:tcW w:w="7920" w:type="dxa"/>
            <w:vMerge/>
            <w:shd w:val="clear" w:color="auto" w:fill="auto"/>
            <w:tcMar>
              <w:top w:w="100" w:type="dxa"/>
              <w:left w:w="100" w:type="dxa"/>
              <w:bottom w:w="100" w:type="dxa"/>
              <w:right w:w="100" w:type="dxa"/>
            </w:tcMar>
          </w:tcPr>
          <w:p w14:paraId="5C51479A"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3534D70E"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122BEADF" w14:textId="77777777">
        <w:trPr>
          <w:trHeight w:val="288"/>
        </w:trPr>
        <w:tc>
          <w:tcPr>
            <w:tcW w:w="7920" w:type="dxa"/>
            <w:vMerge/>
            <w:shd w:val="clear" w:color="auto" w:fill="auto"/>
            <w:tcMar>
              <w:top w:w="100" w:type="dxa"/>
              <w:left w:w="100" w:type="dxa"/>
              <w:bottom w:w="100" w:type="dxa"/>
              <w:right w:w="100" w:type="dxa"/>
            </w:tcMar>
          </w:tcPr>
          <w:p w14:paraId="5ABC2384"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7EAB7171"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1D4B8226" w14:textId="77777777">
        <w:trPr>
          <w:gridAfter w:val="1"/>
          <w:wAfter w:w="6" w:type="dxa"/>
          <w:trHeight w:val="288"/>
        </w:trPr>
        <w:tc>
          <w:tcPr>
            <w:tcW w:w="9282" w:type="dxa"/>
            <w:gridSpan w:val="2"/>
            <w:shd w:val="clear" w:color="auto" w:fill="auto"/>
            <w:tcMar>
              <w:top w:w="100" w:type="dxa"/>
              <w:left w:w="100" w:type="dxa"/>
              <w:bottom w:w="100" w:type="dxa"/>
              <w:right w:w="100" w:type="dxa"/>
            </w:tcMar>
            <w:vAlign w:val="center"/>
          </w:tcPr>
          <w:p w14:paraId="39DE395D" w14:textId="77777777" w:rsidR="00D03D64" w:rsidRDefault="00D450E1">
            <w:pPr>
              <w:widowControl w:val="0"/>
              <w:pBdr>
                <w:top w:val="nil"/>
                <w:left w:val="nil"/>
                <w:bottom w:val="nil"/>
                <w:right w:val="nil"/>
                <w:between w:val="nil"/>
              </w:pBdr>
              <w:rPr>
                <w:rFonts w:ascii="Times" w:eastAsia="Times" w:hAnsi="Times" w:cs="Times"/>
                <w:b/>
                <w:color w:val="000000"/>
                <w:sz w:val="24"/>
                <w:szCs w:val="24"/>
              </w:rPr>
            </w:pPr>
            <w:r>
              <w:rPr>
                <w:rFonts w:ascii="Garamond" w:eastAsia="Garamond" w:hAnsi="Garamond" w:cs="Garamond"/>
                <w:b/>
                <w:color w:val="000000"/>
              </w:rPr>
              <w:t xml:space="preserve">Your Role in the Research </w:t>
            </w:r>
          </w:p>
        </w:tc>
      </w:tr>
      <w:tr w:rsidR="00D03D64" w14:paraId="4862001F" w14:textId="77777777">
        <w:trPr>
          <w:trHeight w:val="432"/>
        </w:trPr>
        <w:tc>
          <w:tcPr>
            <w:tcW w:w="7920" w:type="dxa"/>
            <w:vMerge w:val="restart"/>
            <w:shd w:val="clear" w:color="auto" w:fill="auto"/>
            <w:tcMar>
              <w:top w:w="100" w:type="dxa"/>
              <w:left w:w="100" w:type="dxa"/>
              <w:bottom w:w="100" w:type="dxa"/>
              <w:right w:w="100" w:type="dxa"/>
            </w:tcMar>
          </w:tcPr>
          <w:p w14:paraId="74CCABB7" w14:textId="77777777" w:rsidR="00D03D64" w:rsidRDefault="00D450E1">
            <w:pPr>
              <w:widowControl w:val="0"/>
              <w:numPr>
                <w:ilvl w:val="0"/>
                <w:numId w:val="1"/>
              </w:numPr>
              <w:pBdr>
                <w:top w:val="nil"/>
                <w:left w:val="nil"/>
                <w:bottom w:val="nil"/>
                <w:right w:val="nil"/>
                <w:between w:val="nil"/>
              </w:pBdr>
              <w:spacing w:line="276" w:lineRule="auto"/>
              <w:ind w:right="156"/>
              <w:rPr>
                <w:rFonts w:ascii="Garamond" w:eastAsia="Garamond" w:hAnsi="Garamond" w:cs="Garamond"/>
                <w:color w:val="000000"/>
              </w:rPr>
            </w:pPr>
            <w:r>
              <w:rPr>
                <w:rFonts w:ascii="Garamond" w:eastAsia="Garamond" w:hAnsi="Garamond" w:cs="Garamond"/>
                <w:color w:val="000000"/>
              </w:rPr>
              <w:t>Describe your research role, the research site(s), or the institutions involved with your study.</w:t>
            </w:r>
          </w:p>
          <w:p w14:paraId="6AE4895C" w14:textId="77777777" w:rsidR="00D03D64" w:rsidRDefault="00D450E1">
            <w:pPr>
              <w:widowControl w:val="0"/>
              <w:numPr>
                <w:ilvl w:val="0"/>
                <w:numId w:val="1"/>
              </w:numPr>
              <w:pBdr>
                <w:top w:val="nil"/>
                <w:left w:val="nil"/>
                <w:bottom w:val="nil"/>
                <w:right w:val="nil"/>
                <w:between w:val="nil"/>
              </w:pBdr>
              <w:spacing w:line="276" w:lineRule="auto"/>
              <w:ind w:right="156"/>
              <w:rPr>
                <w:rFonts w:ascii="Garamond" w:eastAsia="Garamond" w:hAnsi="Garamond" w:cs="Garamond"/>
                <w:color w:val="000000"/>
              </w:rPr>
            </w:pPr>
            <w:r>
              <w:rPr>
                <w:rFonts w:ascii="Garamond" w:eastAsia="Garamond" w:hAnsi="Garamond" w:cs="Garamond"/>
                <w:color w:val="000000"/>
              </w:rPr>
              <w:t xml:space="preserve">State in the application and on the consent form(s) how you will minimize the risk of coercion, bias, conflict of interest, or undue influence. </w:t>
            </w:r>
          </w:p>
          <w:p w14:paraId="5C766E41" w14:textId="77777777" w:rsidR="00D03D64" w:rsidRDefault="00D450E1">
            <w:pPr>
              <w:widowControl w:val="0"/>
              <w:numPr>
                <w:ilvl w:val="0"/>
                <w:numId w:val="1"/>
              </w:numPr>
              <w:pBdr>
                <w:top w:val="nil"/>
                <w:left w:val="nil"/>
                <w:bottom w:val="nil"/>
                <w:right w:val="nil"/>
                <w:between w:val="nil"/>
              </w:pBdr>
              <w:spacing w:line="276" w:lineRule="auto"/>
              <w:ind w:right="156"/>
              <w:rPr>
                <w:rFonts w:ascii="Garamond" w:eastAsia="Garamond" w:hAnsi="Garamond" w:cs="Garamond"/>
                <w:color w:val="000000"/>
              </w:rPr>
            </w:pPr>
            <w:r>
              <w:rPr>
                <w:rFonts w:ascii="Garamond" w:eastAsia="Garamond" w:hAnsi="Garamond" w:cs="Garamond"/>
                <w:color w:val="000000"/>
              </w:rPr>
              <w:lastRenderedPageBreak/>
              <w:t xml:space="preserve">Ensure that the distribution of time per study activity is reasonable and justified. </w:t>
            </w:r>
          </w:p>
          <w:p w14:paraId="467099BE" w14:textId="77777777" w:rsidR="00D03D64" w:rsidRDefault="00D450E1">
            <w:pPr>
              <w:widowControl w:val="0"/>
              <w:numPr>
                <w:ilvl w:val="1"/>
                <w:numId w:val="1"/>
              </w:numPr>
              <w:pBdr>
                <w:top w:val="nil"/>
                <w:left w:val="nil"/>
                <w:bottom w:val="nil"/>
                <w:right w:val="nil"/>
                <w:between w:val="nil"/>
              </w:pBdr>
              <w:spacing w:line="276" w:lineRule="auto"/>
              <w:ind w:right="156"/>
              <w:rPr>
                <w:rFonts w:ascii="Garamond" w:eastAsia="Garamond" w:hAnsi="Garamond" w:cs="Garamond"/>
                <w:color w:val="000000"/>
                <w:sz w:val="18"/>
                <w:szCs w:val="18"/>
              </w:rPr>
            </w:pPr>
            <w:r>
              <w:rPr>
                <w:rFonts w:ascii="Garamond" w:eastAsia="Garamond" w:hAnsi="Garamond" w:cs="Garamond"/>
                <w:color w:val="000000"/>
                <w:sz w:val="18"/>
                <w:szCs w:val="18"/>
              </w:rPr>
              <w:t>For classroom research, avoid taking away from typical classroom learning.</w:t>
            </w:r>
          </w:p>
          <w:p w14:paraId="68C6D79A" w14:textId="77777777" w:rsidR="00D03D64" w:rsidRDefault="00D450E1">
            <w:pPr>
              <w:widowControl w:val="0"/>
              <w:numPr>
                <w:ilvl w:val="1"/>
                <w:numId w:val="1"/>
              </w:numPr>
              <w:pBdr>
                <w:top w:val="nil"/>
                <w:left w:val="nil"/>
                <w:bottom w:val="nil"/>
                <w:right w:val="nil"/>
                <w:between w:val="nil"/>
              </w:pBdr>
              <w:spacing w:line="276" w:lineRule="auto"/>
              <w:ind w:right="156"/>
              <w:rPr>
                <w:rFonts w:ascii="Garamond" w:eastAsia="Garamond" w:hAnsi="Garamond" w:cs="Garamond"/>
                <w:color w:val="000000"/>
              </w:rPr>
            </w:pPr>
            <w:r>
              <w:rPr>
                <w:rFonts w:ascii="Garamond" w:eastAsia="Garamond" w:hAnsi="Garamond" w:cs="Garamond"/>
                <w:color w:val="000000"/>
                <w:sz w:val="18"/>
                <w:szCs w:val="18"/>
              </w:rPr>
              <w:t>For intervention research, explain how the study activity differs from daily routines.</w:t>
            </w:r>
          </w:p>
        </w:tc>
        <w:tc>
          <w:tcPr>
            <w:tcW w:w="1368" w:type="dxa"/>
            <w:gridSpan w:val="2"/>
            <w:shd w:val="clear" w:color="auto" w:fill="auto"/>
            <w:tcMar>
              <w:top w:w="100" w:type="dxa"/>
              <w:left w:w="100" w:type="dxa"/>
              <w:bottom w:w="100" w:type="dxa"/>
              <w:right w:w="100" w:type="dxa"/>
            </w:tcMar>
          </w:tcPr>
          <w:p w14:paraId="2F4A1706"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464E320E" w14:textId="77777777">
        <w:trPr>
          <w:trHeight w:val="720"/>
        </w:trPr>
        <w:tc>
          <w:tcPr>
            <w:tcW w:w="7920" w:type="dxa"/>
            <w:vMerge/>
            <w:shd w:val="clear" w:color="auto" w:fill="auto"/>
            <w:tcMar>
              <w:top w:w="100" w:type="dxa"/>
              <w:left w:w="100" w:type="dxa"/>
              <w:bottom w:w="100" w:type="dxa"/>
              <w:right w:w="100" w:type="dxa"/>
            </w:tcMar>
          </w:tcPr>
          <w:p w14:paraId="72AB6EEA"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35CAF60D" w14:textId="77777777" w:rsidR="00D03D64" w:rsidRDefault="00D03D64">
            <w:pPr>
              <w:widowControl w:val="0"/>
              <w:pBdr>
                <w:top w:val="nil"/>
                <w:left w:val="nil"/>
                <w:bottom w:val="nil"/>
                <w:right w:val="nil"/>
                <w:between w:val="nil"/>
              </w:pBdr>
              <w:jc w:val="center"/>
              <w:rPr>
                <w:rFonts w:ascii="Garamond" w:eastAsia="Garamond" w:hAnsi="Garamond" w:cs="Garamond"/>
                <w:color w:val="010101"/>
                <w:sz w:val="24"/>
                <w:szCs w:val="24"/>
              </w:rPr>
            </w:pPr>
          </w:p>
        </w:tc>
      </w:tr>
      <w:tr w:rsidR="00D03D64" w14:paraId="6573E4B0" w14:textId="77777777">
        <w:trPr>
          <w:trHeight w:val="609"/>
        </w:trPr>
        <w:tc>
          <w:tcPr>
            <w:tcW w:w="7920" w:type="dxa"/>
            <w:vMerge/>
            <w:shd w:val="clear" w:color="auto" w:fill="auto"/>
            <w:tcMar>
              <w:top w:w="100" w:type="dxa"/>
              <w:left w:w="100" w:type="dxa"/>
              <w:bottom w:w="100" w:type="dxa"/>
              <w:right w:w="100" w:type="dxa"/>
            </w:tcMar>
          </w:tcPr>
          <w:p w14:paraId="40E31B0D" w14:textId="77777777" w:rsidR="00D03D64" w:rsidRDefault="00D03D64">
            <w:pPr>
              <w:widowControl w:val="0"/>
              <w:pBdr>
                <w:top w:val="nil"/>
                <w:left w:val="nil"/>
                <w:bottom w:val="nil"/>
                <w:right w:val="nil"/>
                <w:between w:val="nil"/>
              </w:pBdr>
              <w:spacing w:line="276" w:lineRule="auto"/>
              <w:rPr>
                <w:rFonts w:ascii="Garamond" w:eastAsia="Garamond" w:hAnsi="Garamond" w:cs="Garamond"/>
                <w:color w:val="010101"/>
                <w:sz w:val="24"/>
                <w:szCs w:val="24"/>
              </w:rPr>
            </w:pPr>
          </w:p>
        </w:tc>
        <w:tc>
          <w:tcPr>
            <w:tcW w:w="1368" w:type="dxa"/>
            <w:gridSpan w:val="2"/>
            <w:shd w:val="clear" w:color="auto" w:fill="auto"/>
            <w:tcMar>
              <w:top w:w="100" w:type="dxa"/>
              <w:left w:w="100" w:type="dxa"/>
              <w:bottom w:w="100" w:type="dxa"/>
              <w:right w:w="100" w:type="dxa"/>
            </w:tcMar>
            <w:vAlign w:val="center"/>
          </w:tcPr>
          <w:p w14:paraId="6391A500" w14:textId="77777777" w:rsidR="00D03D64" w:rsidRDefault="00D03D64">
            <w:pPr>
              <w:widowControl w:val="0"/>
              <w:pBdr>
                <w:top w:val="nil"/>
                <w:left w:val="nil"/>
                <w:bottom w:val="nil"/>
                <w:right w:val="nil"/>
                <w:between w:val="nil"/>
              </w:pBdr>
              <w:jc w:val="center"/>
              <w:rPr>
                <w:rFonts w:ascii="Garamond" w:eastAsia="Garamond" w:hAnsi="Garamond" w:cs="Garamond"/>
                <w:color w:val="010101"/>
                <w:sz w:val="24"/>
                <w:szCs w:val="24"/>
              </w:rPr>
            </w:pPr>
          </w:p>
        </w:tc>
      </w:tr>
    </w:tbl>
    <w:p w14:paraId="2A191F29" w14:textId="77777777" w:rsidR="00D03D64" w:rsidRDefault="00D03D64">
      <w:pPr>
        <w:widowControl w:val="0"/>
        <w:pBdr>
          <w:top w:val="nil"/>
          <w:left w:val="nil"/>
          <w:bottom w:val="nil"/>
          <w:right w:val="nil"/>
          <w:between w:val="nil"/>
        </w:pBdr>
        <w:rPr>
          <w:rFonts w:ascii="Garamond" w:eastAsia="Garamond" w:hAnsi="Garamond" w:cs="Garamond"/>
          <w:color w:val="010101"/>
          <w:sz w:val="24"/>
          <w:szCs w:val="24"/>
        </w:rPr>
      </w:pPr>
    </w:p>
    <w:tbl>
      <w:tblPr>
        <w:tblStyle w:val="a0"/>
        <w:tblW w:w="9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4"/>
        <w:gridCol w:w="1358"/>
      </w:tblGrid>
      <w:tr w:rsidR="00D03D64" w14:paraId="7CF53FC0" w14:textId="77777777">
        <w:trPr>
          <w:trHeight w:val="288"/>
        </w:trPr>
        <w:tc>
          <w:tcPr>
            <w:tcW w:w="9282" w:type="dxa"/>
            <w:gridSpan w:val="2"/>
            <w:shd w:val="clear" w:color="auto" w:fill="auto"/>
            <w:tcMar>
              <w:top w:w="100" w:type="dxa"/>
              <w:left w:w="100" w:type="dxa"/>
              <w:bottom w:w="100" w:type="dxa"/>
              <w:right w:w="100" w:type="dxa"/>
            </w:tcMar>
            <w:vAlign w:val="center"/>
          </w:tcPr>
          <w:p w14:paraId="20CD3EF7" w14:textId="77777777" w:rsidR="00D03D64" w:rsidRDefault="00D450E1">
            <w:pPr>
              <w:widowControl w:val="0"/>
              <w:pBdr>
                <w:top w:val="nil"/>
                <w:left w:val="nil"/>
                <w:bottom w:val="nil"/>
                <w:right w:val="nil"/>
                <w:between w:val="nil"/>
              </w:pBdr>
              <w:rPr>
                <w:rFonts w:ascii="Times" w:eastAsia="Times" w:hAnsi="Times" w:cs="Times"/>
                <w:b/>
                <w:color w:val="000000"/>
                <w:sz w:val="24"/>
                <w:szCs w:val="24"/>
              </w:rPr>
            </w:pPr>
            <w:r>
              <w:rPr>
                <w:rFonts w:ascii="Garamond" w:eastAsia="Garamond" w:hAnsi="Garamond" w:cs="Garamond"/>
                <w:b/>
                <w:color w:val="000000"/>
              </w:rPr>
              <w:t>Participant Recruitment</w:t>
            </w:r>
          </w:p>
        </w:tc>
      </w:tr>
      <w:tr w:rsidR="00D03D64" w14:paraId="6AA83483" w14:textId="77777777">
        <w:trPr>
          <w:trHeight w:val="432"/>
        </w:trPr>
        <w:tc>
          <w:tcPr>
            <w:tcW w:w="7924" w:type="dxa"/>
            <w:vMerge w:val="restart"/>
            <w:shd w:val="clear" w:color="auto" w:fill="auto"/>
            <w:tcMar>
              <w:top w:w="100" w:type="dxa"/>
              <w:left w:w="100" w:type="dxa"/>
              <w:bottom w:w="100" w:type="dxa"/>
              <w:right w:w="100" w:type="dxa"/>
            </w:tcMar>
          </w:tcPr>
          <w:p w14:paraId="679BA787" w14:textId="77777777" w:rsidR="00D03D64" w:rsidRDefault="00D450E1">
            <w:pPr>
              <w:widowControl w:val="0"/>
              <w:numPr>
                <w:ilvl w:val="0"/>
                <w:numId w:val="2"/>
              </w:numPr>
              <w:pBdr>
                <w:top w:val="nil"/>
                <w:left w:val="nil"/>
                <w:bottom w:val="nil"/>
                <w:right w:val="nil"/>
                <w:between w:val="nil"/>
              </w:pBdr>
              <w:spacing w:line="276" w:lineRule="auto"/>
              <w:ind w:right="109"/>
              <w:rPr>
                <w:rFonts w:ascii="Garamond" w:eastAsia="Garamond" w:hAnsi="Garamond" w:cs="Garamond"/>
                <w:color w:val="000000"/>
              </w:rPr>
            </w:pPr>
            <w:r>
              <w:rPr>
                <w:rFonts w:ascii="Garamond" w:eastAsia="Garamond" w:hAnsi="Garamond" w:cs="Garamond"/>
                <w:color w:val="000000"/>
              </w:rPr>
              <w:t xml:space="preserve">Describe your </w:t>
            </w:r>
            <w:hyperlink r:id="rId13">
              <w:r>
                <w:rPr>
                  <w:rFonts w:ascii="Garamond" w:eastAsia="Garamond" w:hAnsi="Garamond" w:cs="Garamond"/>
                  <w:color w:val="1155CC"/>
                  <w:u w:val="single"/>
                </w:rPr>
                <w:t>recruitment methods and procedures</w:t>
              </w:r>
            </w:hyperlink>
            <w:r>
              <w:rPr>
                <w:rFonts w:ascii="Garamond" w:eastAsia="Garamond" w:hAnsi="Garamond" w:cs="Garamond"/>
                <w:color w:val="000000"/>
              </w:rPr>
              <w:t xml:space="preserve"> in detail, and explain on what basis you will select participants.</w:t>
            </w:r>
          </w:p>
          <w:p w14:paraId="5976CCC5" w14:textId="77777777" w:rsidR="00D03D64" w:rsidRDefault="00D450E1">
            <w:pPr>
              <w:widowControl w:val="0"/>
              <w:numPr>
                <w:ilvl w:val="0"/>
                <w:numId w:val="2"/>
              </w:numPr>
              <w:pBdr>
                <w:top w:val="nil"/>
                <w:left w:val="nil"/>
                <w:bottom w:val="nil"/>
                <w:right w:val="nil"/>
                <w:between w:val="nil"/>
              </w:pBdr>
              <w:spacing w:line="276" w:lineRule="auto"/>
              <w:ind w:right="109"/>
              <w:rPr>
                <w:rFonts w:ascii="Garamond" w:eastAsia="Garamond" w:hAnsi="Garamond" w:cs="Garamond"/>
                <w:color w:val="000000"/>
              </w:rPr>
            </w:pPr>
            <w:r>
              <w:rPr>
                <w:rFonts w:ascii="Garamond" w:eastAsia="Garamond" w:hAnsi="Garamond" w:cs="Garamond"/>
                <w:color w:val="000000"/>
              </w:rPr>
              <w:t xml:space="preserve">Provide any </w:t>
            </w:r>
            <w:hyperlink r:id="rId14">
              <w:r>
                <w:rPr>
                  <w:rFonts w:ascii="Garamond" w:eastAsia="Garamond" w:hAnsi="Garamond" w:cs="Garamond"/>
                  <w:color w:val="1155CC"/>
                  <w:u w:val="single"/>
                </w:rPr>
                <w:t>recruitment materials you plan to use</w:t>
              </w:r>
            </w:hyperlink>
            <w:r>
              <w:rPr>
                <w:rFonts w:ascii="Garamond" w:eastAsia="Garamond" w:hAnsi="Garamond" w:cs="Garamond"/>
                <w:color w:val="000000"/>
              </w:rPr>
              <w:t>, including email or online text, posts, letters, flyers, or a script for announcements or phone calls.</w:t>
            </w:r>
          </w:p>
        </w:tc>
        <w:tc>
          <w:tcPr>
            <w:tcW w:w="1358" w:type="dxa"/>
            <w:shd w:val="clear" w:color="auto" w:fill="auto"/>
            <w:tcMar>
              <w:top w:w="100" w:type="dxa"/>
              <w:left w:w="100" w:type="dxa"/>
              <w:bottom w:w="100" w:type="dxa"/>
              <w:right w:w="100" w:type="dxa"/>
            </w:tcMar>
            <w:vAlign w:val="center"/>
          </w:tcPr>
          <w:p w14:paraId="3D9A7C88"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57868523" w14:textId="77777777">
        <w:trPr>
          <w:trHeight w:val="288"/>
        </w:trPr>
        <w:tc>
          <w:tcPr>
            <w:tcW w:w="7924" w:type="dxa"/>
            <w:vMerge/>
            <w:shd w:val="clear" w:color="auto" w:fill="auto"/>
            <w:tcMar>
              <w:top w:w="100" w:type="dxa"/>
              <w:left w:w="100" w:type="dxa"/>
              <w:bottom w:w="100" w:type="dxa"/>
              <w:right w:w="100" w:type="dxa"/>
            </w:tcMar>
          </w:tcPr>
          <w:p w14:paraId="51F36DE4"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58" w:type="dxa"/>
            <w:shd w:val="clear" w:color="auto" w:fill="auto"/>
            <w:tcMar>
              <w:top w:w="100" w:type="dxa"/>
              <w:left w:w="100" w:type="dxa"/>
              <w:bottom w:w="100" w:type="dxa"/>
              <w:right w:w="100" w:type="dxa"/>
            </w:tcMar>
            <w:vAlign w:val="center"/>
          </w:tcPr>
          <w:p w14:paraId="02CB97AD"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676CEEB8" w14:textId="77777777">
        <w:trPr>
          <w:trHeight w:val="288"/>
        </w:trPr>
        <w:tc>
          <w:tcPr>
            <w:tcW w:w="9282" w:type="dxa"/>
            <w:gridSpan w:val="2"/>
            <w:shd w:val="clear" w:color="auto" w:fill="auto"/>
            <w:tcMar>
              <w:top w:w="100" w:type="dxa"/>
              <w:left w:w="100" w:type="dxa"/>
              <w:bottom w:w="100" w:type="dxa"/>
              <w:right w:w="100" w:type="dxa"/>
            </w:tcMar>
            <w:vAlign w:val="center"/>
          </w:tcPr>
          <w:p w14:paraId="5EAE7FE2" w14:textId="77777777" w:rsidR="00D03D64" w:rsidRDefault="00D450E1">
            <w:pPr>
              <w:widowControl w:val="0"/>
              <w:pBdr>
                <w:top w:val="nil"/>
                <w:left w:val="nil"/>
                <w:bottom w:val="nil"/>
                <w:right w:val="nil"/>
                <w:between w:val="nil"/>
              </w:pBdr>
              <w:rPr>
                <w:rFonts w:ascii="Times" w:eastAsia="Times" w:hAnsi="Times" w:cs="Times"/>
                <w:b/>
                <w:color w:val="000000"/>
                <w:sz w:val="24"/>
                <w:szCs w:val="24"/>
              </w:rPr>
            </w:pPr>
            <w:r>
              <w:rPr>
                <w:rFonts w:ascii="Garamond" w:eastAsia="Garamond" w:hAnsi="Garamond" w:cs="Garamond"/>
                <w:b/>
                <w:color w:val="000000"/>
              </w:rPr>
              <w:t xml:space="preserve">Payment for Study Activities and Time Involvement </w:t>
            </w:r>
          </w:p>
        </w:tc>
      </w:tr>
      <w:tr w:rsidR="00D03D64" w14:paraId="20C81DDE" w14:textId="77777777">
        <w:trPr>
          <w:trHeight w:val="432"/>
        </w:trPr>
        <w:tc>
          <w:tcPr>
            <w:tcW w:w="7924" w:type="dxa"/>
            <w:vMerge w:val="restart"/>
            <w:shd w:val="clear" w:color="auto" w:fill="auto"/>
            <w:tcMar>
              <w:top w:w="100" w:type="dxa"/>
              <w:left w:w="100" w:type="dxa"/>
              <w:bottom w:w="100" w:type="dxa"/>
              <w:right w:w="100" w:type="dxa"/>
            </w:tcMar>
          </w:tcPr>
          <w:p w14:paraId="590EFF14" w14:textId="77777777" w:rsidR="00D03D64" w:rsidRDefault="00D450E1">
            <w:pPr>
              <w:widowControl w:val="0"/>
              <w:numPr>
                <w:ilvl w:val="1"/>
                <w:numId w:val="3"/>
              </w:numPr>
              <w:pBdr>
                <w:top w:val="nil"/>
                <w:left w:val="nil"/>
                <w:bottom w:val="nil"/>
                <w:right w:val="nil"/>
                <w:between w:val="nil"/>
              </w:pBdr>
              <w:spacing w:line="276" w:lineRule="auto"/>
              <w:ind w:right="150"/>
              <w:rPr>
                <w:rFonts w:ascii="Garamond" w:eastAsia="Garamond" w:hAnsi="Garamond" w:cs="Garamond"/>
                <w:color w:val="000000"/>
              </w:rPr>
            </w:pPr>
            <w:r>
              <w:rPr>
                <w:rFonts w:ascii="Garamond" w:eastAsia="Garamond" w:hAnsi="Garamond" w:cs="Garamond"/>
                <w:color w:val="000000"/>
              </w:rPr>
              <w:t>When paying participants, describe when and how payment will be rendered (e.g., …at the end of the study, a gift card will be sent via email).</w:t>
            </w:r>
          </w:p>
          <w:p w14:paraId="2F5C943C" w14:textId="77777777" w:rsidR="00D03D64" w:rsidRDefault="00D450E1">
            <w:pPr>
              <w:widowControl w:val="0"/>
              <w:numPr>
                <w:ilvl w:val="1"/>
                <w:numId w:val="3"/>
              </w:numPr>
              <w:pBdr>
                <w:top w:val="nil"/>
                <w:left w:val="nil"/>
                <w:bottom w:val="nil"/>
                <w:right w:val="nil"/>
                <w:between w:val="nil"/>
              </w:pBdr>
              <w:spacing w:line="276" w:lineRule="auto"/>
              <w:ind w:right="150"/>
              <w:rPr>
                <w:rFonts w:ascii="Garamond" w:eastAsia="Garamond" w:hAnsi="Garamond" w:cs="Garamond"/>
                <w:color w:val="000000"/>
                <w:sz w:val="16"/>
                <w:szCs w:val="16"/>
              </w:rPr>
            </w:pPr>
            <w:r>
              <w:rPr>
                <w:rFonts w:ascii="Garamond" w:eastAsia="Garamond" w:hAnsi="Garamond" w:cs="Garamond"/>
                <w:color w:val="000000"/>
              </w:rPr>
              <w:t>When using a raffle, describe the odds of receiving the gift (e.g., “</w:t>
            </w:r>
            <w:r>
              <w:rPr>
                <w:rFonts w:ascii="Garamond" w:eastAsia="Garamond" w:hAnsi="Garamond" w:cs="Garamond"/>
                <w:i/>
                <w:color w:val="000000"/>
              </w:rPr>
              <w:t>At the end of the survey, you will have the option to enter your email address into a raffle for a $30 Amazon gift card. Your email address and survey responses will be stored separately. Your chances of receiving the gift card are 1/100. Only the person whose name is drawn for the raffle will be contacted via email</w:t>
            </w:r>
            <w:r>
              <w:rPr>
                <w:rFonts w:ascii="Garamond" w:eastAsia="Garamond" w:hAnsi="Garamond" w:cs="Garamond"/>
                <w:color w:val="000000"/>
              </w:rPr>
              <w:t>.”)</w:t>
            </w:r>
          </w:p>
        </w:tc>
        <w:tc>
          <w:tcPr>
            <w:tcW w:w="1358" w:type="dxa"/>
            <w:shd w:val="clear" w:color="auto" w:fill="auto"/>
            <w:tcMar>
              <w:top w:w="100" w:type="dxa"/>
              <w:left w:w="100" w:type="dxa"/>
              <w:bottom w:w="100" w:type="dxa"/>
              <w:right w:w="100" w:type="dxa"/>
            </w:tcMar>
            <w:vAlign w:val="center"/>
          </w:tcPr>
          <w:p w14:paraId="0DAF7FD7"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6718D5DF" w14:textId="77777777">
        <w:trPr>
          <w:trHeight w:val="907"/>
        </w:trPr>
        <w:tc>
          <w:tcPr>
            <w:tcW w:w="7924" w:type="dxa"/>
            <w:vMerge/>
            <w:shd w:val="clear" w:color="auto" w:fill="auto"/>
            <w:tcMar>
              <w:top w:w="100" w:type="dxa"/>
              <w:left w:w="100" w:type="dxa"/>
              <w:bottom w:w="100" w:type="dxa"/>
              <w:right w:w="100" w:type="dxa"/>
            </w:tcMar>
          </w:tcPr>
          <w:p w14:paraId="382EA16B"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58" w:type="dxa"/>
            <w:shd w:val="clear" w:color="auto" w:fill="auto"/>
            <w:tcMar>
              <w:top w:w="100" w:type="dxa"/>
              <w:left w:w="100" w:type="dxa"/>
              <w:bottom w:w="100" w:type="dxa"/>
              <w:right w:w="100" w:type="dxa"/>
            </w:tcMar>
            <w:vAlign w:val="center"/>
          </w:tcPr>
          <w:p w14:paraId="6FF3628E"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110A31DD" w14:textId="77777777">
        <w:trPr>
          <w:trHeight w:val="288"/>
        </w:trPr>
        <w:tc>
          <w:tcPr>
            <w:tcW w:w="9282" w:type="dxa"/>
            <w:gridSpan w:val="2"/>
            <w:shd w:val="clear" w:color="auto" w:fill="auto"/>
            <w:tcMar>
              <w:top w:w="100" w:type="dxa"/>
              <w:left w:w="100" w:type="dxa"/>
              <w:bottom w:w="100" w:type="dxa"/>
              <w:right w:w="100" w:type="dxa"/>
            </w:tcMar>
            <w:vAlign w:val="center"/>
          </w:tcPr>
          <w:p w14:paraId="3ED1C89E" w14:textId="77777777" w:rsidR="00D03D64" w:rsidRDefault="00D450E1">
            <w:pPr>
              <w:widowControl w:val="0"/>
              <w:pBdr>
                <w:top w:val="nil"/>
                <w:left w:val="nil"/>
                <w:bottom w:val="nil"/>
                <w:right w:val="nil"/>
                <w:between w:val="nil"/>
              </w:pBdr>
              <w:rPr>
                <w:rFonts w:ascii="Garamond" w:eastAsia="Garamond" w:hAnsi="Garamond" w:cs="Garamond"/>
                <w:b/>
                <w:color w:val="000000"/>
                <w:sz w:val="24"/>
                <w:szCs w:val="24"/>
              </w:rPr>
            </w:pPr>
            <w:r>
              <w:rPr>
                <w:rFonts w:ascii="Garamond" w:eastAsia="Garamond" w:hAnsi="Garamond" w:cs="Garamond"/>
                <w:b/>
              </w:rPr>
              <w:t>Risks and Benefits</w:t>
            </w:r>
          </w:p>
        </w:tc>
      </w:tr>
      <w:tr w:rsidR="00D03D64" w14:paraId="1CEBA235" w14:textId="77777777">
        <w:trPr>
          <w:trHeight w:val="576"/>
        </w:trPr>
        <w:tc>
          <w:tcPr>
            <w:tcW w:w="7924" w:type="dxa"/>
            <w:vMerge w:val="restart"/>
            <w:shd w:val="clear" w:color="auto" w:fill="auto"/>
            <w:tcMar>
              <w:top w:w="100" w:type="dxa"/>
              <w:left w:w="100" w:type="dxa"/>
              <w:bottom w:w="100" w:type="dxa"/>
              <w:right w:w="100" w:type="dxa"/>
            </w:tcMar>
          </w:tcPr>
          <w:p w14:paraId="4F27A44E" w14:textId="77777777" w:rsidR="00D03D64" w:rsidRDefault="00D450E1">
            <w:pPr>
              <w:widowControl w:val="0"/>
              <w:numPr>
                <w:ilvl w:val="0"/>
                <w:numId w:val="4"/>
              </w:numPr>
              <w:pBdr>
                <w:top w:val="nil"/>
                <w:left w:val="nil"/>
                <w:bottom w:val="nil"/>
                <w:right w:val="nil"/>
                <w:between w:val="nil"/>
              </w:pBdr>
              <w:spacing w:line="276" w:lineRule="auto"/>
              <w:ind w:right="439"/>
              <w:rPr>
                <w:rFonts w:ascii="Garamond" w:eastAsia="Garamond" w:hAnsi="Garamond" w:cs="Garamond"/>
                <w:color w:val="000000"/>
              </w:rPr>
            </w:pPr>
            <w:r>
              <w:rPr>
                <w:rFonts w:ascii="Garamond" w:eastAsia="Garamond" w:hAnsi="Garamond" w:cs="Garamond"/>
                <w:color w:val="000000"/>
              </w:rPr>
              <w:t xml:space="preserve">Clearly </w:t>
            </w:r>
            <w:hyperlink r:id="rId15">
              <w:r>
                <w:rPr>
                  <w:rFonts w:ascii="Garamond" w:eastAsia="Garamond" w:hAnsi="Garamond" w:cs="Garamond"/>
                  <w:color w:val="1155CC"/>
                  <w:u w:val="single"/>
                </w:rPr>
                <w:t>describe potential risks</w:t>
              </w:r>
            </w:hyperlink>
            <w:r>
              <w:rPr>
                <w:rFonts w:ascii="Garamond" w:eastAsia="Garamond" w:hAnsi="Garamond" w:cs="Garamond"/>
                <w:color w:val="000000"/>
              </w:rPr>
              <w:t xml:space="preserve"> (physical, psychological, social, legal, or other), and indicate the likelihood of these risks occurring. Boredom is not a risk.</w:t>
            </w:r>
          </w:p>
          <w:p w14:paraId="3ED726F1" w14:textId="77777777" w:rsidR="00D03D64" w:rsidRDefault="00D450E1">
            <w:pPr>
              <w:widowControl w:val="0"/>
              <w:numPr>
                <w:ilvl w:val="0"/>
                <w:numId w:val="4"/>
              </w:numPr>
              <w:pBdr>
                <w:top w:val="nil"/>
                <w:left w:val="nil"/>
                <w:bottom w:val="nil"/>
                <w:right w:val="nil"/>
                <w:between w:val="nil"/>
              </w:pBdr>
              <w:spacing w:line="276" w:lineRule="auto"/>
              <w:ind w:right="439"/>
              <w:rPr>
                <w:rFonts w:ascii="Garamond" w:eastAsia="Garamond" w:hAnsi="Garamond" w:cs="Garamond"/>
                <w:color w:val="000000"/>
              </w:rPr>
            </w:pPr>
            <w:r>
              <w:rPr>
                <w:rFonts w:ascii="Garamond" w:eastAsia="Garamond" w:hAnsi="Garamond" w:cs="Garamond"/>
                <w:color w:val="000000"/>
              </w:rPr>
              <w:t xml:space="preserve">Explain how you will mitigate risks. </w:t>
            </w:r>
          </w:p>
          <w:p w14:paraId="5EFDC6E3" w14:textId="77777777" w:rsidR="00D03D64" w:rsidRDefault="00D450E1">
            <w:pPr>
              <w:widowControl w:val="0"/>
              <w:numPr>
                <w:ilvl w:val="0"/>
                <w:numId w:val="4"/>
              </w:numPr>
              <w:pBdr>
                <w:top w:val="nil"/>
                <w:left w:val="nil"/>
                <w:bottom w:val="nil"/>
                <w:right w:val="nil"/>
                <w:between w:val="nil"/>
              </w:pBdr>
              <w:spacing w:line="276" w:lineRule="auto"/>
              <w:ind w:right="439"/>
              <w:rPr>
                <w:rFonts w:ascii="Times New Roman" w:eastAsia="Times New Roman" w:hAnsi="Times New Roman" w:cs="Times New Roman"/>
                <w:color w:val="000000"/>
              </w:rPr>
            </w:pPr>
            <w:r>
              <w:rPr>
                <w:rFonts w:ascii="Garamond" w:eastAsia="Garamond" w:hAnsi="Garamond" w:cs="Garamond"/>
                <w:color w:val="000000"/>
              </w:rPr>
              <w:t xml:space="preserve">Do not overstate study benefits. Direct benefits to participants are tangible and are equally available to all. Most research has no </w:t>
            </w:r>
            <w:r>
              <w:rPr>
                <w:rFonts w:ascii="Garamond" w:eastAsia="Garamond" w:hAnsi="Garamond" w:cs="Garamond"/>
                <w:i/>
                <w:color w:val="000000"/>
              </w:rPr>
              <w:t>direct</w:t>
            </w:r>
            <w:r>
              <w:rPr>
                <w:rFonts w:ascii="Garamond" w:eastAsia="Garamond" w:hAnsi="Garamond" w:cs="Garamond"/>
                <w:color w:val="000000"/>
              </w:rPr>
              <w:t xml:space="preserve"> benefit.</w:t>
            </w:r>
          </w:p>
        </w:tc>
        <w:tc>
          <w:tcPr>
            <w:tcW w:w="1358" w:type="dxa"/>
            <w:shd w:val="clear" w:color="auto" w:fill="auto"/>
            <w:tcMar>
              <w:top w:w="100" w:type="dxa"/>
              <w:left w:w="100" w:type="dxa"/>
              <w:bottom w:w="100" w:type="dxa"/>
              <w:right w:w="100" w:type="dxa"/>
            </w:tcMar>
            <w:vAlign w:val="center"/>
          </w:tcPr>
          <w:p w14:paraId="48C3DC6A"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61365CB6" w14:textId="77777777">
        <w:trPr>
          <w:trHeight w:val="144"/>
        </w:trPr>
        <w:tc>
          <w:tcPr>
            <w:tcW w:w="7924" w:type="dxa"/>
            <w:vMerge/>
            <w:shd w:val="clear" w:color="auto" w:fill="auto"/>
            <w:tcMar>
              <w:top w:w="100" w:type="dxa"/>
              <w:left w:w="100" w:type="dxa"/>
              <w:bottom w:w="100" w:type="dxa"/>
              <w:right w:w="100" w:type="dxa"/>
            </w:tcMar>
          </w:tcPr>
          <w:p w14:paraId="16BA7A9D"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58" w:type="dxa"/>
            <w:shd w:val="clear" w:color="auto" w:fill="auto"/>
            <w:tcMar>
              <w:top w:w="100" w:type="dxa"/>
              <w:left w:w="100" w:type="dxa"/>
              <w:bottom w:w="100" w:type="dxa"/>
              <w:right w:w="100" w:type="dxa"/>
            </w:tcMar>
            <w:vAlign w:val="center"/>
          </w:tcPr>
          <w:p w14:paraId="0AFE84B9"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6D363C45" w14:textId="77777777">
        <w:trPr>
          <w:trHeight w:val="432"/>
        </w:trPr>
        <w:tc>
          <w:tcPr>
            <w:tcW w:w="7924" w:type="dxa"/>
            <w:vMerge/>
            <w:shd w:val="clear" w:color="auto" w:fill="auto"/>
            <w:tcMar>
              <w:top w:w="100" w:type="dxa"/>
              <w:left w:w="100" w:type="dxa"/>
              <w:bottom w:w="100" w:type="dxa"/>
              <w:right w:w="100" w:type="dxa"/>
            </w:tcMar>
          </w:tcPr>
          <w:p w14:paraId="7D8F9219"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58" w:type="dxa"/>
            <w:shd w:val="clear" w:color="auto" w:fill="auto"/>
            <w:tcMar>
              <w:top w:w="100" w:type="dxa"/>
              <w:left w:w="100" w:type="dxa"/>
              <w:bottom w:w="100" w:type="dxa"/>
              <w:right w:w="100" w:type="dxa"/>
            </w:tcMar>
            <w:vAlign w:val="center"/>
          </w:tcPr>
          <w:p w14:paraId="07E4BD13"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bl>
    <w:p w14:paraId="54B31003" w14:textId="77777777" w:rsidR="00D03D64" w:rsidRDefault="00D03D64">
      <w:pPr>
        <w:rPr>
          <w:sz w:val="2"/>
          <w:szCs w:val="2"/>
        </w:rPr>
      </w:pPr>
    </w:p>
    <w:tbl>
      <w:tblPr>
        <w:tblStyle w:val="a1"/>
        <w:tblW w:w="9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4"/>
        <w:gridCol w:w="1358"/>
      </w:tblGrid>
      <w:tr w:rsidR="00D03D64" w14:paraId="0C55A0E5" w14:textId="77777777">
        <w:trPr>
          <w:trHeight w:val="288"/>
        </w:trPr>
        <w:tc>
          <w:tcPr>
            <w:tcW w:w="9282" w:type="dxa"/>
            <w:gridSpan w:val="2"/>
            <w:shd w:val="clear" w:color="auto" w:fill="auto"/>
            <w:tcMar>
              <w:top w:w="100" w:type="dxa"/>
              <w:left w:w="100" w:type="dxa"/>
              <w:bottom w:w="100" w:type="dxa"/>
              <w:right w:w="100" w:type="dxa"/>
            </w:tcMar>
            <w:vAlign w:val="center"/>
          </w:tcPr>
          <w:p w14:paraId="747A211F" w14:textId="77777777" w:rsidR="00D03D64" w:rsidRDefault="00D450E1">
            <w:pPr>
              <w:widowControl w:val="0"/>
              <w:pBdr>
                <w:top w:val="nil"/>
                <w:left w:val="nil"/>
                <w:bottom w:val="nil"/>
                <w:right w:val="nil"/>
                <w:between w:val="nil"/>
              </w:pBdr>
              <w:rPr>
                <w:rFonts w:ascii="Times" w:eastAsia="Times" w:hAnsi="Times" w:cs="Times"/>
                <w:b/>
                <w:color w:val="000000"/>
                <w:sz w:val="24"/>
                <w:szCs w:val="24"/>
              </w:rPr>
            </w:pPr>
            <w:r>
              <w:rPr>
                <w:rFonts w:ascii="Garamond" w:eastAsia="Garamond" w:hAnsi="Garamond" w:cs="Garamond"/>
                <w:b/>
                <w:color w:val="000000"/>
              </w:rPr>
              <w:t>Informed Consent Procedures</w:t>
            </w:r>
          </w:p>
        </w:tc>
      </w:tr>
      <w:tr w:rsidR="00D03D64" w14:paraId="62798B3D" w14:textId="77777777">
        <w:trPr>
          <w:trHeight w:val="2016"/>
        </w:trPr>
        <w:tc>
          <w:tcPr>
            <w:tcW w:w="7924" w:type="dxa"/>
            <w:vMerge w:val="restart"/>
            <w:shd w:val="clear" w:color="auto" w:fill="auto"/>
            <w:tcMar>
              <w:top w:w="100" w:type="dxa"/>
              <w:left w:w="100" w:type="dxa"/>
              <w:bottom w:w="100" w:type="dxa"/>
              <w:right w:w="100" w:type="dxa"/>
            </w:tcMar>
          </w:tcPr>
          <w:p w14:paraId="4C0A23C5" w14:textId="77777777" w:rsidR="00D03D64" w:rsidRDefault="00D450E1">
            <w:pPr>
              <w:widowControl w:val="0"/>
              <w:numPr>
                <w:ilvl w:val="0"/>
                <w:numId w:val="5"/>
              </w:numPr>
              <w:pBdr>
                <w:top w:val="nil"/>
                <w:left w:val="nil"/>
                <w:bottom w:val="nil"/>
                <w:right w:val="nil"/>
                <w:between w:val="nil"/>
              </w:pBdr>
              <w:spacing w:line="276" w:lineRule="auto"/>
              <w:ind w:right="147" w:hanging="360"/>
              <w:rPr>
                <w:rFonts w:ascii="Garamond" w:eastAsia="Garamond" w:hAnsi="Garamond" w:cs="Garamond"/>
                <w:color w:val="000000"/>
              </w:rPr>
            </w:pPr>
            <w:r>
              <w:rPr>
                <w:rFonts w:ascii="Garamond" w:eastAsia="Garamond" w:hAnsi="Garamond" w:cs="Garamond"/>
                <w:color w:val="000000"/>
              </w:rPr>
              <w:t xml:space="preserve">The language used on consent form(s), letters, or other documents for parents/guardians and participants should be </w:t>
            </w:r>
            <w:hyperlink r:id="rId16">
              <w:r>
                <w:rPr>
                  <w:rFonts w:ascii="Garamond" w:eastAsia="Garamond" w:hAnsi="Garamond" w:cs="Garamond"/>
                  <w:color w:val="0000FF"/>
                  <w:u w:val="single"/>
                </w:rPr>
                <w:t>clearly written at an age-appropriate reading level.</w:t>
              </w:r>
            </w:hyperlink>
            <w:r>
              <w:rPr>
                <w:rFonts w:ascii="Garamond" w:eastAsia="Garamond" w:hAnsi="Garamond" w:cs="Garamond"/>
                <w:color w:val="000000"/>
              </w:rPr>
              <w:t xml:space="preserve"> An 8th-grade reading level is considered standard for adults. Use the Flesch-Kincaid Grade Level test to evaluate reading level.</w:t>
            </w:r>
          </w:p>
          <w:p w14:paraId="3C0B0758" w14:textId="77777777" w:rsidR="00D03D64" w:rsidRDefault="00D450E1">
            <w:pPr>
              <w:widowControl w:val="0"/>
              <w:numPr>
                <w:ilvl w:val="1"/>
                <w:numId w:val="5"/>
              </w:numPr>
              <w:pBdr>
                <w:top w:val="nil"/>
                <w:left w:val="nil"/>
                <w:bottom w:val="nil"/>
                <w:right w:val="nil"/>
                <w:between w:val="nil"/>
              </w:pBdr>
              <w:spacing w:line="276" w:lineRule="auto"/>
              <w:ind w:right="147"/>
              <w:rPr>
                <w:rFonts w:ascii="Garamond" w:eastAsia="Garamond" w:hAnsi="Garamond" w:cs="Garamond"/>
                <w:color w:val="000000"/>
                <w:sz w:val="20"/>
                <w:szCs w:val="20"/>
              </w:rPr>
            </w:pPr>
            <w:r>
              <w:rPr>
                <w:rFonts w:ascii="Garamond" w:eastAsia="Garamond" w:hAnsi="Garamond" w:cs="Garamond"/>
                <w:color w:val="000000"/>
                <w:sz w:val="20"/>
                <w:szCs w:val="20"/>
              </w:rPr>
              <w:t xml:space="preserve">If an online survey is being used, the stamped IRB-approved consent form should be downloadable through the survey link. </w:t>
            </w:r>
          </w:p>
          <w:p w14:paraId="0E259F73" w14:textId="77777777" w:rsidR="00D03D64" w:rsidRDefault="00D450E1">
            <w:pPr>
              <w:widowControl w:val="0"/>
              <w:numPr>
                <w:ilvl w:val="1"/>
                <w:numId w:val="5"/>
              </w:numPr>
              <w:pBdr>
                <w:top w:val="nil"/>
                <w:left w:val="nil"/>
                <w:bottom w:val="nil"/>
                <w:right w:val="nil"/>
                <w:between w:val="nil"/>
              </w:pBdr>
              <w:spacing w:line="276" w:lineRule="auto"/>
              <w:ind w:right="147"/>
              <w:rPr>
                <w:rFonts w:ascii="Garamond" w:eastAsia="Garamond" w:hAnsi="Garamond" w:cs="Garamond"/>
                <w:color w:val="000000"/>
                <w:sz w:val="20"/>
                <w:szCs w:val="20"/>
              </w:rPr>
            </w:pPr>
            <w:r>
              <w:rPr>
                <w:rFonts w:ascii="Garamond" w:eastAsia="Garamond" w:hAnsi="Garamond" w:cs="Garamond"/>
                <w:color w:val="000000"/>
                <w:sz w:val="20"/>
                <w:szCs w:val="20"/>
              </w:rPr>
              <w:t>The online survey should not include forced responses (i.e., respondents should be allowed to skip questions).</w:t>
            </w:r>
          </w:p>
          <w:p w14:paraId="5462C882" w14:textId="77777777" w:rsidR="00D03D64" w:rsidRDefault="00D450E1">
            <w:pPr>
              <w:widowControl w:val="0"/>
              <w:numPr>
                <w:ilvl w:val="0"/>
                <w:numId w:val="5"/>
              </w:numPr>
              <w:pBdr>
                <w:top w:val="nil"/>
                <w:left w:val="nil"/>
                <w:bottom w:val="nil"/>
                <w:right w:val="nil"/>
                <w:between w:val="nil"/>
              </w:pBdr>
              <w:spacing w:line="276" w:lineRule="auto"/>
              <w:ind w:right="109" w:hanging="360"/>
              <w:rPr>
                <w:rFonts w:ascii="Garamond" w:eastAsia="Garamond" w:hAnsi="Garamond" w:cs="Garamond"/>
                <w:color w:val="000000"/>
              </w:rPr>
            </w:pPr>
            <w:r>
              <w:rPr>
                <w:rFonts w:ascii="Garamond" w:eastAsia="Garamond" w:hAnsi="Garamond" w:cs="Garamond"/>
                <w:color w:val="000000"/>
              </w:rPr>
              <w:t xml:space="preserve">Clearly state that participation is </w:t>
            </w:r>
            <w:r>
              <w:rPr>
                <w:rFonts w:ascii="Garamond" w:eastAsia="Garamond" w:hAnsi="Garamond" w:cs="Garamond"/>
                <w:b/>
                <w:color w:val="000000"/>
              </w:rPr>
              <w:t>voluntary</w:t>
            </w:r>
            <w:r>
              <w:rPr>
                <w:rFonts w:ascii="Garamond" w:eastAsia="Garamond" w:hAnsi="Garamond" w:cs="Garamond"/>
                <w:color w:val="000000"/>
              </w:rPr>
              <w:t xml:space="preserve">, participants are free to stop or withdraw from the study at any time, and individuals (including parents) have the right to remove themselves (or their child) from the study at any point without damage to their academic standing or access to services or benefits. </w:t>
            </w:r>
          </w:p>
          <w:p w14:paraId="6CB2F2DF" w14:textId="77777777" w:rsidR="00D03D64" w:rsidRDefault="00D450E1">
            <w:pPr>
              <w:widowControl w:val="0"/>
              <w:numPr>
                <w:ilvl w:val="1"/>
                <w:numId w:val="5"/>
              </w:numPr>
              <w:pBdr>
                <w:top w:val="nil"/>
                <w:left w:val="nil"/>
                <w:bottom w:val="nil"/>
                <w:right w:val="nil"/>
                <w:between w:val="nil"/>
              </w:pBdr>
              <w:spacing w:line="276" w:lineRule="auto"/>
              <w:ind w:right="109"/>
              <w:rPr>
                <w:rFonts w:ascii="Garamond" w:eastAsia="Garamond" w:hAnsi="Garamond" w:cs="Garamond"/>
                <w:color w:val="000000"/>
                <w:sz w:val="20"/>
                <w:szCs w:val="20"/>
              </w:rPr>
            </w:pPr>
            <w:r>
              <w:rPr>
                <w:rFonts w:ascii="Garamond" w:eastAsia="Garamond" w:hAnsi="Garamond" w:cs="Garamond"/>
                <w:color w:val="000000"/>
                <w:sz w:val="20"/>
                <w:szCs w:val="20"/>
              </w:rPr>
              <w:t xml:space="preserve">If the study includes minors (under the age of 18), parents/guardians may inquire about their child's progress or any changes in their child’s reaction to </w:t>
            </w:r>
            <w:r>
              <w:rPr>
                <w:rFonts w:ascii="Garamond" w:eastAsia="Garamond" w:hAnsi="Garamond" w:cs="Garamond"/>
                <w:color w:val="000000"/>
                <w:sz w:val="20"/>
                <w:szCs w:val="20"/>
              </w:rPr>
              <w:lastRenderedPageBreak/>
              <w:t xml:space="preserve">the procedure at any point. </w:t>
            </w:r>
          </w:p>
        </w:tc>
        <w:tc>
          <w:tcPr>
            <w:tcW w:w="1358" w:type="dxa"/>
            <w:shd w:val="clear" w:color="auto" w:fill="auto"/>
            <w:tcMar>
              <w:top w:w="100" w:type="dxa"/>
              <w:left w:w="100" w:type="dxa"/>
              <w:bottom w:w="100" w:type="dxa"/>
              <w:right w:w="100" w:type="dxa"/>
            </w:tcMar>
            <w:vAlign w:val="center"/>
          </w:tcPr>
          <w:p w14:paraId="281C5870"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D03D64" w14:paraId="53BBCEF2" w14:textId="77777777">
        <w:trPr>
          <w:trHeight w:val="432"/>
        </w:trPr>
        <w:tc>
          <w:tcPr>
            <w:tcW w:w="7924" w:type="dxa"/>
            <w:vMerge/>
            <w:shd w:val="clear" w:color="auto" w:fill="auto"/>
            <w:tcMar>
              <w:top w:w="100" w:type="dxa"/>
              <w:left w:w="100" w:type="dxa"/>
              <w:bottom w:w="100" w:type="dxa"/>
              <w:right w:w="100" w:type="dxa"/>
            </w:tcMar>
          </w:tcPr>
          <w:p w14:paraId="6BDF9918" w14:textId="77777777" w:rsidR="00D03D64" w:rsidRDefault="00D03D6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58" w:type="dxa"/>
            <w:shd w:val="clear" w:color="auto" w:fill="auto"/>
            <w:tcMar>
              <w:top w:w="100" w:type="dxa"/>
              <w:left w:w="100" w:type="dxa"/>
              <w:bottom w:w="100" w:type="dxa"/>
              <w:right w:w="100" w:type="dxa"/>
            </w:tcMar>
            <w:vAlign w:val="center"/>
          </w:tcPr>
          <w:p w14:paraId="7C012A2C" w14:textId="77777777" w:rsidR="00D03D64" w:rsidRDefault="00D03D64">
            <w:pPr>
              <w:widowControl w:val="0"/>
              <w:pBdr>
                <w:top w:val="nil"/>
                <w:left w:val="nil"/>
                <w:bottom w:val="nil"/>
                <w:right w:val="nil"/>
                <w:between w:val="nil"/>
              </w:pBdr>
              <w:jc w:val="center"/>
              <w:rPr>
                <w:rFonts w:ascii="Times New Roman" w:eastAsia="Times New Roman" w:hAnsi="Times New Roman" w:cs="Times New Roman"/>
                <w:color w:val="000000"/>
              </w:rPr>
            </w:pPr>
          </w:p>
        </w:tc>
      </w:tr>
    </w:tbl>
    <w:p w14:paraId="66FF0895" w14:textId="77777777" w:rsidR="00D03D64" w:rsidRDefault="00D03D64">
      <w:pPr>
        <w:widowControl w:val="0"/>
        <w:pBdr>
          <w:top w:val="nil"/>
          <w:left w:val="nil"/>
          <w:bottom w:val="nil"/>
          <w:right w:val="nil"/>
          <w:between w:val="nil"/>
        </w:pBdr>
        <w:rPr>
          <w:color w:val="000000"/>
        </w:rPr>
      </w:pPr>
    </w:p>
    <w:p w14:paraId="60F920D5" w14:textId="77777777" w:rsidR="00D03D64" w:rsidRDefault="00D03D64">
      <w:pPr>
        <w:widowControl w:val="0"/>
        <w:pBdr>
          <w:top w:val="nil"/>
          <w:left w:val="nil"/>
          <w:bottom w:val="nil"/>
          <w:right w:val="nil"/>
          <w:between w:val="nil"/>
        </w:pBdr>
        <w:rPr>
          <w:color w:val="000000"/>
        </w:rPr>
      </w:pPr>
    </w:p>
    <w:p w14:paraId="506D6A03" w14:textId="77777777" w:rsidR="00D03D64" w:rsidRDefault="00D03D64">
      <w:pPr>
        <w:widowControl w:val="0"/>
        <w:pBdr>
          <w:top w:val="nil"/>
          <w:left w:val="nil"/>
          <w:bottom w:val="nil"/>
          <w:right w:val="nil"/>
          <w:between w:val="nil"/>
        </w:pBdr>
        <w:rPr>
          <w:color w:val="000000"/>
        </w:rPr>
      </w:pPr>
    </w:p>
    <w:p w14:paraId="1088DEBE" w14:textId="77777777" w:rsidR="00D03D64" w:rsidRDefault="00D03D64">
      <w:pPr>
        <w:widowControl w:val="0"/>
        <w:pBdr>
          <w:top w:val="nil"/>
          <w:left w:val="nil"/>
          <w:bottom w:val="nil"/>
          <w:right w:val="nil"/>
          <w:between w:val="nil"/>
        </w:pBdr>
        <w:rPr>
          <w:color w:val="000000"/>
        </w:rPr>
      </w:pPr>
    </w:p>
    <w:tbl>
      <w:tblPr>
        <w:tblStyle w:val="a2"/>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4"/>
        <w:gridCol w:w="1426"/>
      </w:tblGrid>
      <w:tr w:rsidR="00D03D64" w14:paraId="3FA002AC" w14:textId="77777777">
        <w:trPr>
          <w:trHeight w:val="288"/>
        </w:trPr>
        <w:tc>
          <w:tcPr>
            <w:tcW w:w="9350" w:type="dxa"/>
            <w:gridSpan w:val="2"/>
            <w:shd w:val="clear" w:color="auto" w:fill="auto"/>
            <w:tcMar>
              <w:top w:w="100" w:type="dxa"/>
              <w:left w:w="100" w:type="dxa"/>
              <w:bottom w:w="100" w:type="dxa"/>
              <w:right w:w="100" w:type="dxa"/>
            </w:tcMar>
            <w:vAlign w:val="center"/>
          </w:tcPr>
          <w:p w14:paraId="6DD5D6D8" w14:textId="77777777" w:rsidR="00D03D64" w:rsidRDefault="00D450E1">
            <w:pPr>
              <w:widowControl w:val="0"/>
              <w:pBdr>
                <w:top w:val="nil"/>
                <w:left w:val="nil"/>
                <w:bottom w:val="nil"/>
                <w:right w:val="nil"/>
                <w:between w:val="nil"/>
              </w:pBdr>
              <w:rPr>
                <w:rFonts w:ascii="Times" w:eastAsia="Times" w:hAnsi="Times" w:cs="Times"/>
                <w:b/>
                <w:color w:val="000000"/>
                <w:sz w:val="24"/>
                <w:szCs w:val="24"/>
              </w:rPr>
            </w:pPr>
            <w:r>
              <w:rPr>
                <w:rFonts w:ascii="Garamond" w:eastAsia="Garamond" w:hAnsi="Garamond" w:cs="Garamond"/>
                <w:b/>
                <w:color w:val="000000"/>
              </w:rPr>
              <w:t>Research Sites</w:t>
            </w:r>
          </w:p>
        </w:tc>
      </w:tr>
      <w:tr w:rsidR="00D03D64" w14:paraId="2095BFDB" w14:textId="77777777">
        <w:trPr>
          <w:trHeight w:val="1981"/>
        </w:trPr>
        <w:tc>
          <w:tcPr>
            <w:tcW w:w="7924" w:type="dxa"/>
            <w:vMerge w:val="restart"/>
            <w:shd w:val="clear" w:color="auto" w:fill="auto"/>
            <w:tcMar>
              <w:top w:w="100" w:type="dxa"/>
              <w:left w:w="100" w:type="dxa"/>
              <w:bottom w:w="100" w:type="dxa"/>
              <w:right w:w="100" w:type="dxa"/>
            </w:tcMar>
          </w:tcPr>
          <w:p w14:paraId="78935107" w14:textId="77777777" w:rsidR="00D03D64" w:rsidRDefault="00D450E1">
            <w:pPr>
              <w:widowControl w:val="0"/>
              <w:numPr>
                <w:ilvl w:val="0"/>
                <w:numId w:val="5"/>
              </w:numPr>
              <w:pBdr>
                <w:top w:val="nil"/>
                <w:left w:val="nil"/>
                <w:bottom w:val="nil"/>
                <w:right w:val="nil"/>
                <w:between w:val="nil"/>
              </w:pBdr>
              <w:spacing w:line="276" w:lineRule="auto"/>
              <w:ind w:right="118" w:hanging="360"/>
              <w:rPr>
                <w:rFonts w:ascii="Garamond" w:eastAsia="Garamond" w:hAnsi="Garamond" w:cs="Garamond"/>
                <w:color w:val="000000"/>
              </w:rPr>
            </w:pPr>
            <w:r>
              <w:rPr>
                <w:rFonts w:ascii="Garamond" w:eastAsia="Garamond" w:hAnsi="Garamond" w:cs="Garamond"/>
                <w:color w:val="000000"/>
              </w:rPr>
              <w:t xml:space="preserve">Describe the study location. </w:t>
            </w:r>
          </w:p>
          <w:p w14:paraId="469883DC" w14:textId="77777777" w:rsidR="00D03D64" w:rsidRDefault="00D450E1">
            <w:pPr>
              <w:widowControl w:val="0"/>
              <w:numPr>
                <w:ilvl w:val="1"/>
                <w:numId w:val="5"/>
              </w:numPr>
              <w:pBdr>
                <w:top w:val="nil"/>
                <w:left w:val="nil"/>
                <w:bottom w:val="nil"/>
                <w:right w:val="nil"/>
                <w:between w:val="nil"/>
              </w:pBdr>
              <w:spacing w:line="276" w:lineRule="auto"/>
              <w:ind w:right="118"/>
              <w:rPr>
                <w:rFonts w:ascii="Garamond" w:eastAsia="Garamond" w:hAnsi="Garamond" w:cs="Garamond"/>
                <w:color w:val="000000"/>
                <w:sz w:val="20"/>
                <w:szCs w:val="20"/>
              </w:rPr>
            </w:pPr>
            <w:r>
              <w:rPr>
                <w:rFonts w:ascii="Garamond" w:eastAsia="Garamond" w:hAnsi="Garamond" w:cs="Garamond"/>
                <w:color w:val="000000"/>
                <w:sz w:val="20"/>
                <w:szCs w:val="20"/>
              </w:rPr>
              <w:t xml:space="preserve">If you are conducting research in or recruiting subjects from a school or other non-TC institution, a </w:t>
            </w:r>
            <w:r>
              <w:rPr>
                <w:rFonts w:ascii="Garamond" w:eastAsia="Garamond" w:hAnsi="Garamond" w:cs="Garamond"/>
                <w:b/>
                <w:color w:val="000000"/>
                <w:sz w:val="20"/>
                <w:szCs w:val="20"/>
              </w:rPr>
              <w:t>site</w:t>
            </w:r>
            <w:r>
              <w:rPr>
                <w:rFonts w:ascii="Garamond" w:eastAsia="Garamond" w:hAnsi="Garamond" w:cs="Garamond"/>
                <w:color w:val="000000"/>
                <w:sz w:val="20"/>
                <w:szCs w:val="20"/>
              </w:rPr>
              <w:t xml:space="preserve"> </w:t>
            </w:r>
            <w:r>
              <w:rPr>
                <w:rFonts w:ascii="Garamond" w:eastAsia="Garamond" w:hAnsi="Garamond" w:cs="Garamond"/>
                <w:b/>
                <w:color w:val="000000"/>
                <w:sz w:val="20"/>
                <w:szCs w:val="20"/>
              </w:rPr>
              <w:t xml:space="preserve">permission form must be obtained </w:t>
            </w:r>
            <w:r>
              <w:rPr>
                <w:rFonts w:ascii="Garamond" w:eastAsia="Garamond" w:hAnsi="Garamond" w:cs="Garamond"/>
                <w:color w:val="000000"/>
                <w:sz w:val="20"/>
                <w:szCs w:val="20"/>
              </w:rPr>
              <w:t xml:space="preserve">from the appropriate institutional administrator (a site permission form is available in Mentor IRB/Documentation or from a representative of that institution). A site permission form can be signed </w:t>
            </w:r>
            <w:r>
              <w:rPr>
                <w:rFonts w:ascii="Garamond" w:eastAsia="Garamond" w:hAnsi="Garamond" w:cs="Garamond"/>
                <w:i/>
                <w:color w:val="000000"/>
                <w:sz w:val="20"/>
                <w:szCs w:val="20"/>
              </w:rPr>
              <w:t xml:space="preserve">after TC IRB </w:t>
            </w:r>
            <w:r>
              <w:rPr>
                <w:rFonts w:ascii="Garamond" w:eastAsia="Garamond" w:hAnsi="Garamond" w:cs="Garamond"/>
                <w:color w:val="000000"/>
                <w:sz w:val="20"/>
                <w:szCs w:val="20"/>
              </w:rPr>
              <w:t>study approval and submitted via a modification. No research may commence at a site in the absence of site approval documentation</w:t>
            </w:r>
          </w:p>
          <w:p w14:paraId="640774BF" w14:textId="77777777" w:rsidR="00D03D64" w:rsidRDefault="00000000">
            <w:pPr>
              <w:widowControl w:val="0"/>
              <w:numPr>
                <w:ilvl w:val="1"/>
                <w:numId w:val="5"/>
              </w:numPr>
              <w:pBdr>
                <w:top w:val="nil"/>
                <w:left w:val="nil"/>
                <w:bottom w:val="nil"/>
                <w:right w:val="nil"/>
                <w:between w:val="nil"/>
              </w:pBdr>
              <w:spacing w:line="276" w:lineRule="auto"/>
              <w:ind w:right="118"/>
              <w:rPr>
                <w:rFonts w:ascii="Garamond" w:eastAsia="Garamond" w:hAnsi="Garamond" w:cs="Garamond"/>
                <w:color w:val="1155CC"/>
                <w:sz w:val="20"/>
                <w:szCs w:val="20"/>
              </w:rPr>
            </w:pPr>
            <w:hyperlink r:id="rId17">
              <w:r w:rsidR="00D450E1">
                <w:rPr>
                  <w:rFonts w:ascii="Garamond" w:eastAsia="Garamond" w:hAnsi="Garamond" w:cs="Garamond"/>
                  <w:color w:val="1155CC"/>
                  <w:sz w:val="20"/>
                  <w:szCs w:val="20"/>
                  <w:u w:val="single"/>
                </w:rPr>
                <w:t>If the study is being conducted in-person, indicate any safety and hygiene details related to the study</w:t>
              </w:r>
            </w:hyperlink>
            <w:r w:rsidR="00D450E1">
              <w:rPr>
                <w:rFonts w:ascii="Garamond" w:eastAsia="Garamond" w:hAnsi="Garamond" w:cs="Garamond"/>
                <w:color w:val="1155CC"/>
                <w:sz w:val="20"/>
                <w:szCs w:val="20"/>
              </w:rPr>
              <w:t xml:space="preserve">. </w:t>
            </w:r>
          </w:p>
          <w:p w14:paraId="0D16BDD3" w14:textId="77777777" w:rsidR="00D03D64" w:rsidRDefault="00D450E1">
            <w:pPr>
              <w:widowControl w:val="0"/>
              <w:numPr>
                <w:ilvl w:val="0"/>
                <w:numId w:val="5"/>
              </w:numPr>
              <w:pBdr>
                <w:top w:val="nil"/>
                <w:left w:val="nil"/>
                <w:bottom w:val="nil"/>
                <w:right w:val="nil"/>
                <w:between w:val="nil"/>
              </w:pBdr>
              <w:spacing w:line="276" w:lineRule="auto"/>
              <w:ind w:right="118" w:hanging="360"/>
              <w:rPr>
                <w:rFonts w:ascii="Garamond" w:eastAsia="Garamond" w:hAnsi="Garamond" w:cs="Garamond"/>
                <w:color w:val="000000"/>
              </w:rPr>
            </w:pPr>
            <w:r>
              <w:rPr>
                <w:rFonts w:ascii="Garamond" w:eastAsia="Garamond" w:hAnsi="Garamond" w:cs="Garamond"/>
                <w:color w:val="000000"/>
              </w:rPr>
              <w:t>Detail any unique characteristics about the study site (e.g., no reliable WIFI).</w:t>
            </w:r>
          </w:p>
        </w:tc>
        <w:tc>
          <w:tcPr>
            <w:tcW w:w="1426" w:type="dxa"/>
            <w:shd w:val="clear" w:color="auto" w:fill="auto"/>
            <w:tcMar>
              <w:top w:w="100" w:type="dxa"/>
              <w:left w:w="100" w:type="dxa"/>
              <w:bottom w:w="100" w:type="dxa"/>
              <w:right w:w="100" w:type="dxa"/>
            </w:tcMar>
            <w:vAlign w:val="center"/>
          </w:tcPr>
          <w:p w14:paraId="3C7CF37C" w14:textId="77777777" w:rsidR="00D03D64" w:rsidRDefault="00D03D64">
            <w:pPr>
              <w:widowControl w:val="0"/>
              <w:pBdr>
                <w:top w:val="nil"/>
                <w:left w:val="nil"/>
                <w:bottom w:val="nil"/>
                <w:right w:val="nil"/>
                <w:between w:val="nil"/>
              </w:pBdr>
              <w:jc w:val="center"/>
              <w:rPr>
                <w:rFonts w:ascii="Garamond" w:eastAsia="Garamond" w:hAnsi="Garamond" w:cs="Garamond"/>
                <w:color w:val="010101"/>
              </w:rPr>
            </w:pPr>
          </w:p>
        </w:tc>
      </w:tr>
      <w:tr w:rsidR="00D03D64" w14:paraId="33F1CC01" w14:textId="77777777">
        <w:trPr>
          <w:trHeight w:val="144"/>
        </w:trPr>
        <w:tc>
          <w:tcPr>
            <w:tcW w:w="7924" w:type="dxa"/>
            <w:vMerge/>
            <w:shd w:val="clear" w:color="auto" w:fill="auto"/>
            <w:tcMar>
              <w:top w:w="100" w:type="dxa"/>
              <w:left w:w="100" w:type="dxa"/>
              <w:bottom w:w="100" w:type="dxa"/>
              <w:right w:w="100" w:type="dxa"/>
            </w:tcMar>
          </w:tcPr>
          <w:p w14:paraId="2BEDE5F0" w14:textId="77777777" w:rsidR="00D03D64" w:rsidRDefault="00D03D64">
            <w:pPr>
              <w:widowControl w:val="0"/>
              <w:pBdr>
                <w:top w:val="nil"/>
                <w:left w:val="nil"/>
                <w:bottom w:val="nil"/>
                <w:right w:val="nil"/>
                <w:between w:val="nil"/>
              </w:pBdr>
              <w:spacing w:line="276" w:lineRule="auto"/>
              <w:rPr>
                <w:rFonts w:ascii="Garamond" w:eastAsia="Garamond" w:hAnsi="Garamond" w:cs="Garamond"/>
                <w:color w:val="010101"/>
              </w:rPr>
            </w:pPr>
          </w:p>
        </w:tc>
        <w:tc>
          <w:tcPr>
            <w:tcW w:w="1426" w:type="dxa"/>
            <w:shd w:val="clear" w:color="auto" w:fill="auto"/>
            <w:tcMar>
              <w:top w:w="100" w:type="dxa"/>
              <w:left w:w="100" w:type="dxa"/>
              <w:bottom w:w="100" w:type="dxa"/>
              <w:right w:w="100" w:type="dxa"/>
            </w:tcMar>
            <w:vAlign w:val="center"/>
          </w:tcPr>
          <w:p w14:paraId="609AF690" w14:textId="77777777" w:rsidR="00D03D64" w:rsidRDefault="00D03D64">
            <w:pPr>
              <w:widowControl w:val="0"/>
              <w:pBdr>
                <w:top w:val="nil"/>
                <w:left w:val="nil"/>
                <w:bottom w:val="nil"/>
                <w:right w:val="nil"/>
                <w:between w:val="nil"/>
              </w:pBdr>
              <w:jc w:val="center"/>
              <w:rPr>
                <w:rFonts w:ascii="Garamond" w:eastAsia="Garamond" w:hAnsi="Garamond" w:cs="Garamond"/>
                <w:color w:val="010101"/>
                <w:sz w:val="24"/>
                <w:szCs w:val="24"/>
              </w:rPr>
            </w:pPr>
          </w:p>
        </w:tc>
      </w:tr>
      <w:tr w:rsidR="00D03D64" w14:paraId="59F2CEB6" w14:textId="77777777">
        <w:trPr>
          <w:trHeight w:val="288"/>
        </w:trPr>
        <w:tc>
          <w:tcPr>
            <w:tcW w:w="9350" w:type="dxa"/>
            <w:gridSpan w:val="2"/>
            <w:shd w:val="clear" w:color="auto" w:fill="auto"/>
            <w:tcMar>
              <w:top w:w="100" w:type="dxa"/>
              <w:left w:w="100" w:type="dxa"/>
              <w:bottom w:w="100" w:type="dxa"/>
              <w:right w:w="100" w:type="dxa"/>
            </w:tcMar>
            <w:vAlign w:val="center"/>
          </w:tcPr>
          <w:p w14:paraId="5E2C0619" w14:textId="77777777" w:rsidR="00D03D64" w:rsidRDefault="00D450E1">
            <w:pPr>
              <w:widowControl w:val="0"/>
              <w:pBdr>
                <w:top w:val="nil"/>
                <w:left w:val="nil"/>
                <w:bottom w:val="nil"/>
                <w:right w:val="nil"/>
                <w:between w:val="nil"/>
              </w:pBdr>
              <w:rPr>
                <w:rFonts w:ascii="Times" w:eastAsia="Times" w:hAnsi="Times" w:cs="Times"/>
                <w:b/>
                <w:color w:val="000000"/>
                <w:sz w:val="24"/>
                <w:szCs w:val="24"/>
              </w:rPr>
            </w:pPr>
            <w:r>
              <w:rPr>
                <w:rFonts w:ascii="Garamond" w:eastAsia="Garamond" w:hAnsi="Garamond" w:cs="Garamond"/>
                <w:b/>
                <w:color w:val="000000"/>
              </w:rPr>
              <w:t>Proofread, Be Consistent, Self-Check</w:t>
            </w:r>
          </w:p>
        </w:tc>
      </w:tr>
      <w:tr w:rsidR="00D03D64" w14:paraId="77269BC1" w14:textId="77777777">
        <w:trPr>
          <w:trHeight w:val="307"/>
        </w:trPr>
        <w:tc>
          <w:tcPr>
            <w:tcW w:w="7924" w:type="dxa"/>
            <w:vMerge w:val="restart"/>
            <w:shd w:val="clear" w:color="auto" w:fill="auto"/>
            <w:tcMar>
              <w:top w:w="100" w:type="dxa"/>
              <w:left w:w="100" w:type="dxa"/>
              <w:bottom w:w="100" w:type="dxa"/>
              <w:right w:w="100" w:type="dxa"/>
            </w:tcMar>
          </w:tcPr>
          <w:p w14:paraId="52F10FF5" w14:textId="77777777" w:rsidR="00D03D64" w:rsidRDefault="00D450E1">
            <w:pPr>
              <w:widowControl w:val="0"/>
              <w:numPr>
                <w:ilvl w:val="0"/>
                <w:numId w:val="5"/>
              </w:numPr>
              <w:pBdr>
                <w:top w:val="nil"/>
                <w:left w:val="nil"/>
                <w:bottom w:val="nil"/>
                <w:right w:val="nil"/>
                <w:between w:val="nil"/>
              </w:pBdr>
              <w:spacing w:line="276" w:lineRule="auto"/>
              <w:ind w:right="118" w:hanging="360"/>
              <w:rPr>
                <w:rFonts w:ascii="Garamond" w:eastAsia="Garamond" w:hAnsi="Garamond" w:cs="Garamond"/>
                <w:color w:val="000000"/>
              </w:rPr>
            </w:pPr>
            <w:r>
              <w:rPr>
                <w:rFonts w:ascii="Garamond" w:eastAsia="Garamond" w:hAnsi="Garamond" w:cs="Garamond"/>
                <w:color w:val="000000"/>
              </w:rPr>
              <w:t xml:space="preserve">Ensure your IRB protocol is complete, consistent, and written for readability. </w:t>
            </w:r>
          </w:p>
          <w:p w14:paraId="04FDFCCE" w14:textId="77777777" w:rsidR="00D03D64" w:rsidRDefault="00D450E1">
            <w:pPr>
              <w:widowControl w:val="0"/>
              <w:numPr>
                <w:ilvl w:val="0"/>
                <w:numId w:val="5"/>
              </w:numPr>
              <w:pBdr>
                <w:top w:val="nil"/>
                <w:left w:val="nil"/>
                <w:bottom w:val="nil"/>
                <w:right w:val="nil"/>
                <w:between w:val="nil"/>
              </w:pBdr>
              <w:spacing w:line="276" w:lineRule="auto"/>
              <w:ind w:right="118" w:hanging="360"/>
              <w:rPr>
                <w:rFonts w:ascii="Garamond" w:eastAsia="Garamond" w:hAnsi="Garamond" w:cs="Garamond"/>
                <w:color w:val="000000"/>
              </w:rPr>
            </w:pPr>
            <w:r>
              <w:rPr>
                <w:rFonts w:ascii="Garamond" w:eastAsia="Garamond" w:hAnsi="Garamond" w:cs="Garamond"/>
                <w:color w:val="000000"/>
              </w:rPr>
              <w:t xml:space="preserve">Name files in a clear and easily identifiable way by developing a naming convention. For example, “IRB </w:t>
            </w:r>
            <w:proofErr w:type="spellStart"/>
            <w:r>
              <w:rPr>
                <w:rFonts w:ascii="Garamond" w:eastAsia="Garamond" w:hAnsi="Garamond" w:cs="Garamond"/>
                <w:color w:val="000000"/>
              </w:rPr>
              <w:t>Protocol#_Document</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Title_Date</w:t>
            </w:r>
            <w:proofErr w:type="spellEnd"/>
            <w:r>
              <w:rPr>
                <w:rFonts w:ascii="Garamond" w:eastAsia="Garamond" w:hAnsi="Garamond" w:cs="Garamond"/>
                <w:color w:val="000000"/>
              </w:rPr>
              <w:t>.”</w:t>
            </w:r>
          </w:p>
          <w:p w14:paraId="1ED8134D" w14:textId="77777777" w:rsidR="00D03D64" w:rsidRDefault="00000000">
            <w:pPr>
              <w:widowControl w:val="0"/>
              <w:numPr>
                <w:ilvl w:val="0"/>
                <w:numId w:val="5"/>
              </w:numPr>
              <w:pBdr>
                <w:top w:val="nil"/>
                <w:left w:val="nil"/>
                <w:bottom w:val="nil"/>
                <w:right w:val="nil"/>
                <w:between w:val="nil"/>
              </w:pBdr>
              <w:spacing w:line="276" w:lineRule="auto"/>
              <w:ind w:right="118" w:hanging="360"/>
              <w:rPr>
                <w:rFonts w:ascii="Garamond" w:eastAsia="Garamond" w:hAnsi="Garamond" w:cs="Garamond"/>
                <w:color w:val="000000"/>
              </w:rPr>
            </w:pPr>
            <w:hyperlink r:id="rId18">
              <w:r w:rsidR="00D450E1">
                <w:rPr>
                  <w:rFonts w:ascii="Garamond" w:eastAsia="Garamond" w:hAnsi="Garamond" w:cs="Garamond"/>
                  <w:color w:val="0000FF"/>
                  <w:u w:val="single"/>
                </w:rPr>
                <w:t>Review resources on TC IRB’s website like the TC Reviewer Questions</w:t>
              </w:r>
            </w:hyperlink>
            <w:r w:rsidR="00D450E1">
              <w:rPr>
                <w:rFonts w:ascii="Garamond" w:eastAsia="Garamond" w:hAnsi="Garamond" w:cs="Garamond"/>
                <w:color w:val="000000"/>
              </w:rPr>
              <w:t xml:space="preserve">. </w:t>
            </w:r>
          </w:p>
        </w:tc>
        <w:tc>
          <w:tcPr>
            <w:tcW w:w="1426" w:type="dxa"/>
            <w:tcBorders>
              <w:bottom w:val="single" w:sz="4" w:space="0" w:color="000000"/>
            </w:tcBorders>
            <w:shd w:val="clear" w:color="auto" w:fill="auto"/>
            <w:tcMar>
              <w:top w:w="100" w:type="dxa"/>
              <w:left w:w="100" w:type="dxa"/>
              <w:bottom w:w="100" w:type="dxa"/>
              <w:right w:w="100" w:type="dxa"/>
            </w:tcMar>
            <w:vAlign w:val="center"/>
          </w:tcPr>
          <w:p w14:paraId="626927BE" w14:textId="77777777" w:rsidR="00D03D64" w:rsidRDefault="00D03D64">
            <w:pPr>
              <w:widowControl w:val="0"/>
              <w:pBdr>
                <w:top w:val="nil"/>
                <w:left w:val="nil"/>
                <w:bottom w:val="nil"/>
                <w:right w:val="nil"/>
                <w:between w:val="nil"/>
              </w:pBdr>
              <w:jc w:val="center"/>
              <w:rPr>
                <w:rFonts w:ascii="Garamond" w:eastAsia="Garamond" w:hAnsi="Garamond" w:cs="Garamond"/>
                <w:color w:val="010101"/>
              </w:rPr>
            </w:pPr>
          </w:p>
        </w:tc>
      </w:tr>
      <w:tr w:rsidR="00D03D64" w14:paraId="795D39B0" w14:textId="77777777">
        <w:trPr>
          <w:trHeight w:val="235"/>
        </w:trPr>
        <w:tc>
          <w:tcPr>
            <w:tcW w:w="7924" w:type="dxa"/>
            <w:vMerge/>
            <w:shd w:val="clear" w:color="auto" w:fill="auto"/>
            <w:tcMar>
              <w:top w:w="100" w:type="dxa"/>
              <w:left w:w="100" w:type="dxa"/>
              <w:bottom w:w="100" w:type="dxa"/>
              <w:right w:w="100" w:type="dxa"/>
            </w:tcMar>
          </w:tcPr>
          <w:p w14:paraId="1F32455C" w14:textId="77777777" w:rsidR="00D03D64" w:rsidRDefault="00D03D64">
            <w:pPr>
              <w:widowControl w:val="0"/>
              <w:pBdr>
                <w:top w:val="nil"/>
                <w:left w:val="nil"/>
                <w:bottom w:val="nil"/>
                <w:right w:val="nil"/>
                <w:between w:val="nil"/>
              </w:pBdr>
              <w:spacing w:line="276" w:lineRule="auto"/>
              <w:rPr>
                <w:rFonts w:ascii="Garamond" w:eastAsia="Garamond" w:hAnsi="Garamond" w:cs="Garamond"/>
                <w:color w:val="010101"/>
              </w:rPr>
            </w:pPr>
          </w:p>
        </w:tc>
        <w:tc>
          <w:tcPr>
            <w:tcW w:w="1426"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669B92D7" w14:textId="77777777" w:rsidR="00D03D64" w:rsidRDefault="00D03D64">
            <w:pPr>
              <w:widowControl w:val="0"/>
              <w:pBdr>
                <w:top w:val="nil"/>
                <w:left w:val="nil"/>
                <w:bottom w:val="nil"/>
                <w:right w:val="nil"/>
                <w:between w:val="nil"/>
              </w:pBdr>
              <w:jc w:val="center"/>
              <w:rPr>
                <w:rFonts w:ascii="Garamond" w:eastAsia="Garamond" w:hAnsi="Garamond" w:cs="Garamond"/>
                <w:color w:val="010101"/>
              </w:rPr>
            </w:pPr>
          </w:p>
        </w:tc>
      </w:tr>
      <w:tr w:rsidR="00D03D64" w14:paraId="70A517B1" w14:textId="77777777">
        <w:trPr>
          <w:trHeight w:val="217"/>
        </w:trPr>
        <w:tc>
          <w:tcPr>
            <w:tcW w:w="7924" w:type="dxa"/>
            <w:vMerge/>
            <w:shd w:val="clear" w:color="auto" w:fill="auto"/>
            <w:tcMar>
              <w:top w:w="100" w:type="dxa"/>
              <w:left w:w="100" w:type="dxa"/>
              <w:bottom w:w="100" w:type="dxa"/>
              <w:right w:w="100" w:type="dxa"/>
            </w:tcMar>
          </w:tcPr>
          <w:p w14:paraId="087B113F" w14:textId="77777777" w:rsidR="00D03D64" w:rsidRDefault="00D03D64">
            <w:pPr>
              <w:widowControl w:val="0"/>
              <w:pBdr>
                <w:top w:val="nil"/>
                <w:left w:val="nil"/>
                <w:bottom w:val="nil"/>
                <w:right w:val="nil"/>
                <w:between w:val="nil"/>
              </w:pBdr>
              <w:spacing w:line="276" w:lineRule="auto"/>
              <w:rPr>
                <w:rFonts w:ascii="Garamond" w:eastAsia="Garamond" w:hAnsi="Garamond" w:cs="Garamond"/>
                <w:color w:val="010101"/>
              </w:rPr>
            </w:pPr>
          </w:p>
        </w:tc>
        <w:tc>
          <w:tcPr>
            <w:tcW w:w="1426" w:type="dxa"/>
            <w:tcBorders>
              <w:top w:val="single" w:sz="4" w:space="0" w:color="000000"/>
            </w:tcBorders>
            <w:shd w:val="clear" w:color="auto" w:fill="auto"/>
            <w:tcMar>
              <w:top w:w="100" w:type="dxa"/>
              <w:left w:w="100" w:type="dxa"/>
              <w:bottom w:w="100" w:type="dxa"/>
              <w:right w:w="100" w:type="dxa"/>
            </w:tcMar>
            <w:vAlign w:val="center"/>
          </w:tcPr>
          <w:p w14:paraId="74515E8C" w14:textId="77777777" w:rsidR="00D03D64" w:rsidRDefault="00D03D64">
            <w:pPr>
              <w:widowControl w:val="0"/>
              <w:pBdr>
                <w:top w:val="nil"/>
                <w:left w:val="nil"/>
                <w:bottom w:val="nil"/>
                <w:right w:val="nil"/>
                <w:between w:val="nil"/>
              </w:pBdr>
              <w:jc w:val="center"/>
              <w:rPr>
                <w:rFonts w:ascii="Garamond" w:eastAsia="Garamond" w:hAnsi="Garamond" w:cs="Garamond"/>
                <w:color w:val="010101"/>
              </w:rPr>
            </w:pPr>
          </w:p>
        </w:tc>
      </w:tr>
      <w:tr w:rsidR="00D03D64" w14:paraId="53785DEB" w14:textId="77777777">
        <w:trPr>
          <w:trHeight w:val="288"/>
        </w:trPr>
        <w:tc>
          <w:tcPr>
            <w:tcW w:w="9350" w:type="dxa"/>
            <w:gridSpan w:val="2"/>
            <w:shd w:val="clear" w:color="auto" w:fill="auto"/>
            <w:tcMar>
              <w:top w:w="100" w:type="dxa"/>
              <w:left w:w="100" w:type="dxa"/>
              <w:bottom w:w="100" w:type="dxa"/>
              <w:right w:w="100" w:type="dxa"/>
            </w:tcMar>
            <w:vAlign w:val="center"/>
          </w:tcPr>
          <w:p w14:paraId="088AE4CE" w14:textId="77777777" w:rsidR="00D03D64" w:rsidRDefault="00D450E1">
            <w:pPr>
              <w:widowControl w:val="0"/>
              <w:rPr>
                <w:rFonts w:ascii="Garamond" w:eastAsia="Garamond" w:hAnsi="Garamond" w:cs="Garamond"/>
                <w:b/>
                <w:color w:val="000000"/>
              </w:rPr>
            </w:pPr>
            <w:r>
              <w:rPr>
                <w:rFonts w:ascii="Garamond" w:eastAsia="Garamond" w:hAnsi="Garamond" w:cs="Garamond"/>
                <w:b/>
                <w:color w:val="000000"/>
              </w:rPr>
              <w:t>Weblink Resources</w:t>
            </w:r>
          </w:p>
        </w:tc>
      </w:tr>
      <w:tr w:rsidR="00D03D64" w14:paraId="658440DC" w14:textId="77777777">
        <w:trPr>
          <w:trHeight w:val="1981"/>
        </w:trPr>
        <w:tc>
          <w:tcPr>
            <w:tcW w:w="9350" w:type="dxa"/>
            <w:gridSpan w:val="2"/>
            <w:vMerge w:val="restart"/>
            <w:shd w:val="clear" w:color="auto" w:fill="auto"/>
            <w:tcMar>
              <w:top w:w="100" w:type="dxa"/>
              <w:left w:w="100" w:type="dxa"/>
              <w:bottom w:w="100" w:type="dxa"/>
              <w:right w:w="100" w:type="dxa"/>
            </w:tcMar>
          </w:tcPr>
          <w:p w14:paraId="4BB7EB38" w14:textId="77777777" w:rsidR="00D03D64" w:rsidRDefault="00000000">
            <w:pPr>
              <w:numPr>
                <w:ilvl w:val="0"/>
                <w:numId w:val="5"/>
              </w:numPr>
              <w:pBdr>
                <w:top w:val="nil"/>
                <w:left w:val="nil"/>
                <w:bottom w:val="nil"/>
                <w:right w:val="nil"/>
                <w:between w:val="nil"/>
              </w:pBdr>
              <w:ind w:hanging="360"/>
              <w:rPr>
                <w:rFonts w:ascii="Garamond" w:eastAsia="Garamond" w:hAnsi="Garamond" w:cs="Garamond"/>
                <w:color w:val="000000"/>
              </w:rPr>
            </w:pPr>
            <w:hyperlink r:id="rId19">
              <w:r w:rsidR="00D450E1">
                <w:rPr>
                  <w:rFonts w:ascii="Garamond" w:eastAsia="Garamond" w:hAnsi="Garamond" w:cs="Garamond"/>
                  <w:color w:val="1155CC"/>
                  <w:u w:val="single"/>
                </w:rPr>
                <w:t>Teachers College Institutional Review Board (IRB)</w:t>
              </w:r>
            </w:hyperlink>
          </w:p>
          <w:p w14:paraId="69C79DEE" w14:textId="77777777" w:rsidR="00D03D64" w:rsidRDefault="00D03D64">
            <w:pPr>
              <w:rPr>
                <w:rFonts w:ascii="Garamond" w:eastAsia="Garamond" w:hAnsi="Garamond" w:cs="Garamond"/>
              </w:rPr>
            </w:pPr>
          </w:p>
          <w:p w14:paraId="2A02A474" w14:textId="77777777" w:rsidR="00D03D64" w:rsidRDefault="00000000">
            <w:pPr>
              <w:numPr>
                <w:ilvl w:val="0"/>
                <w:numId w:val="5"/>
              </w:numPr>
              <w:pBdr>
                <w:top w:val="nil"/>
                <w:left w:val="nil"/>
                <w:bottom w:val="nil"/>
                <w:right w:val="nil"/>
                <w:between w:val="nil"/>
              </w:pBdr>
              <w:ind w:hanging="360"/>
              <w:rPr>
                <w:rFonts w:ascii="Garamond" w:eastAsia="Garamond" w:hAnsi="Garamond" w:cs="Garamond"/>
                <w:color w:val="000000"/>
              </w:rPr>
            </w:pPr>
            <w:hyperlink r:id="rId20">
              <w:r w:rsidR="00D450E1">
                <w:rPr>
                  <w:rFonts w:ascii="Garamond" w:eastAsia="Garamond" w:hAnsi="Garamond" w:cs="Garamond"/>
                  <w:color w:val="1155CC"/>
                  <w:u w:val="single"/>
                </w:rPr>
                <w:t>Life Cycle of a Protocol | IRB Blog | Institutional Review Board</w:t>
              </w:r>
            </w:hyperlink>
          </w:p>
          <w:p w14:paraId="426BCCAF" w14:textId="77777777" w:rsidR="00D03D64" w:rsidRDefault="00D03D64">
            <w:pPr>
              <w:rPr>
                <w:rFonts w:ascii="Garamond" w:eastAsia="Garamond" w:hAnsi="Garamond" w:cs="Garamond"/>
              </w:rPr>
            </w:pPr>
          </w:p>
          <w:p w14:paraId="3C98278C" w14:textId="77777777" w:rsidR="00D03D64" w:rsidRDefault="00000000">
            <w:pPr>
              <w:numPr>
                <w:ilvl w:val="0"/>
                <w:numId w:val="5"/>
              </w:numPr>
              <w:pBdr>
                <w:top w:val="nil"/>
                <w:left w:val="nil"/>
                <w:bottom w:val="nil"/>
                <w:right w:val="nil"/>
                <w:between w:val="nil"/>
              </w:pBdr>
              <w:ind w:hanging="360"/>
              <w:rPr>
                <w:rFonts w:ascii="Garamond" w:eastAsia="Garamond" w:hAnsi="Garamond" w:cs="Garamond"/>
                <w:color w:val="000000"/>
              </w:rPr>
            </w:pPr>
            <w:hyperlink r:id="rId21">
              <w:r w:rsidR="00D450E1">
                <w:rPr>
                  <w:rFonts w:ascii="Garamond" w:eastAsia="Garamond" w:hAnsi="Garamond" w:cs="Garamond"/>
                  <w:color w:val="1155CC"/>
                  <w:u w:val="single"/>
                </w:rPr>
                <w:t>FAQs | Institutional Review Board</w:t>
              </w:r>
            </w:hyperlink>
          </w:p>
          <w:p w14:paraId="3431F4C3" w14:textId="77777777" w:rsidR="00D03D64" w:rsidRDefault="00D03D64">
            <w:pPr>
              <w:rPr>
                <w:rFonts w:ascii="Garamond" w:eastAsia="Garamond" w:hAnsi="Garamond" w:cs="Garamond"/>
              </w:rPr>
            </w:pPr>
          </w:p>
          <w:p w14:paraId="7B879A94" w14:textId="77777777" w:rsidR="00D03D64" w:rsidRDefault="00000000">
            <w:pPr>
              <w:numPr>
                <w:ilvl w:val="0"/>
                <w:numId w:val="5"/>
              </w:numPr>
              <w:pBdr>
                <w:top w:val="nil"/>
                <w:left w:val="nil"/>
                <w:bottom w:val="nil"/>
                <w:right w:val="nil"/>
                <w:between w:val="nil"/>
              </w:pBdr>
              <w:ind w:hanging="360"/>
              <w:rPr>
                <w:rFonts w:ascii="Garamond" w:eastAsia="Garamond" w:hAnsi="Garamond" w:cs="Garamond"/>
                <w:color w:val="000000"/>
              </w:rPr>
            </w:pPr>
            <w:hyperlink r:id="rId22">
              <w:r w:rsidR="00D450E1">
                <w:rPr>
                  <w:rFonts w:ascii="Garamond" w:eastAsia="Garamond" w:hAnsi="Garamond" w:cs="Garamond"/>
                  <w:color w:val="1155CC"/>
                  <w:u w:val="single"/>
                </w:rPr>
                <w:t>Training &amp; Certification | Institutional Review Board</w:t>
              </w:r>
            </w:hyperlink>
          </w:p>
          <w:p w14:paraId="1C421362" w14:textId="77777777" w:rsidR="00D03D64" w:rsidRDefault="00D03D64">
            <w:pPr>
              <w:rPr>
                <w:rFonts w:ascii="Garamond" w:eastAsia="Garamond" w:hAnsi="Garamond" w:cs="Garamond"/>
              </w:rPr>
            </w:pPr>
          </w:p>
          <w:p w14:paraId="2DEE5492" w14:textId="77777777" w:rsidR="00D03D64" w:rsidRDefault="00000000">
            <w:pPr>
              <w:numPr>
                <w:ilvl w:val="0"/>
                <w:numId w:val="5"/>
              </w:numPr>
              <w:pBdr>
                <w:top w:val="nil"/>
                <w:left w:val="nil"/>
                <w:bottom w:val="nil"/>
                <w:right w:val="nil"/>
                <w:between w:val="nil"/>
              </w:pBdr>
              <w:ind w:hanging="360"/>
              <w:rPr>
                <w:rFonts w:ascii="Garamond" w:eastAsia="Garamond" w:hAnsi="Garamond" w:cs="Garamond"/>
                <w:color w:val="000000"/>
              </w:rPr>
            </w:pPr>
            <w:hyperlink r:id="rId23">
              <w:r w:rsidR="00D450E1">
                <w:rPr>
                  <w:rFonts w:ascii="Garamond" w:eastAsia="Garamond" w:hAnsi="Garamond" w:cs="Garamond"/>
                  <w:color w:val="1155CC"/>
                  <w:u w:val="single"/>
                </w:rPr>
                <w:t>Submitting a New Protocol | How to Submit | Institutional Review Board</w:t>
              </w:r>
            </w:hyperlink>
          </w:p>
          <w:p w14:paraId="2B2F20D5" w14:textId="77777777" w:rsidR="00D03D64" w:rsidRDefault="00D03D64">
            <w:pPr>
              <w:rPr>
                <w:rFonts w:ascii="Garamond" w:eastAsia="Garamond" w:hAnsi="Garamond" w:cs="Garamond"/>
              </w:rPr>
            </w:pPr>
          </w:p>
          <w:p w14:paraId="4A0B6345" w14:textId="77777777" w:rsidR="00D03D64" w:rsidRDefault="00000000">
            <w:pPr>
              <w:numPr>
                <w:ilvl w:val="0"/>
                <w:numId w:val="5"/>
              </w:numPr>
              <w:pBdr>
                <w:top w:val="nil"/>
                <w:left w:val="nil"/>
                <w:bottom w:val="nil"/>
                <w:right w:val="nil"/>
                <w:between w:val="nil"/>
              </w:pBdr>
              <w:ind w:hanging="360"/>
              <w:rPr>
                <w:rFonts w:ascii="Garamond" w:eastAsia="Garamond" w:hAnsi="Garamond" w:cs="Garamond"/>
                <w:color w:val="000000"/>
              </w:rPr>
            </w:pPr>
            <w:hyperlink r:id="rId24">
              <w:r w:rsidR="00D450E1">
                <w:rPr>
                  <w:rFonts w:ascii="Garamond" w:eastAsia="Garamond" w:hAnsi="Garamond" w:cs="Garamond"/>
                  <w:color w:val="1155CC"/>
                  <w:u w:val="single"/>
                </w:rPr>
                <w:t>Review Categories | Institutional Review Board</w:t>
              </w:r>
            </w:hyperlink>
          </w:p>
          <w:p w14:paraId="31EC2A61" w14:textId="77777777" w:rsidR="00D03D64" w:rsidRDefault="00D03D64">
            <w:pPr>
              <w:rPr>
                <w:rFonts w:ascii="Garamond" w:eastAsia="Garamond" w:hAnsi="Garamond" w:cs="Garamond"/>
              </w:rPr>
            </w:pPr>
          </w:p>
          <w:p w14:paraId="4C229CAF" w14:textId="77777777" w:rsidR="00D03D64" w:rsidRDefault="00000000">
            <w:pPr>
              <w:numPr>
                <w:ilvl w:val="0"/>
                <w:numId w:val="5"/>
              </w:numPr>
              <w:pBdr>
                <w:top w:val="nil"/>
                <w:left w:val="nil"/>
                <w:bottom w:val="nil"/>
                <w:right w:val="nil"/>
                <w:between w:val="nil"/>
              </w:pBdr>
              <w:ind w:hanging="360"/>
              <w:rPr>
                <w:rFonts w:ascii="Garamond" w:eastAsia="Garamond" w:hAnsi="Garamond" w:cs="Garamond"/>
                <w:color w:val="000000"/>
              </w:rPr>
            </w:pPr>
            <w:hyperlink r:id="rId25">
              <w:r w:rsidR="00D450E1">
                <w:rPr>
                  <w:rFonts w:ascii="Garamond" w:eastAsia="Garamond" w:hAnsi="Garamond" w:cs="Garamond"/>
                  <w:color w:val="1155CC"/>
                  <w:u w:val="single"/>
                </w:rPr>
                <w:t>Guides &amp; Resources | How to Submit | Institutional Review Board</w:t>
              </w:r>
            </w:hyperlink>
          </w:p>
          <w:p w14:paraId="66E1D06B" w14:textId="77777777" w:rsidR="00D03D64" w:rsidRDefault="00D03D64">
            <w:pPr>
              <w:rPr>
                <w:rFonts w:ascii="Garamond" w:eastAsia="Garamond" w:hAnsi="Garamond" w:cs="Garamond"/>
              </w:rPr>
            </w:pPr>
          </w:p>
          <w:p w14:paraId="000599D4" w14:textId="77777777" w:rsidR="00D03D64" w:rsidRDefault="00000000">
            <w:pPr>
              <w:numPr>
                <w:ilvl w:val="0"/>
                <w:numId w:val="5"/>
              </w:numPr>
              <w:pBdr>
                <w:top w:val="nil"/>
                <w:left w:val="nil"/>
                <w:bottom w:val="nil"/>
                <w:right w:val="nil"/>
                <w:between w:val="nil"/>
              </w:pBdr>
              <w:ind w:hanging="360"/>
              <w:rPr>
                <w:rFonts w:ascii="Garamond" w:eastAsia="Garamond" w:hAnsi="Garamond" w:cs="Garamond"/>
                <w:color w:val="000000"/>
              </w:rPr>
            </w:pPr>
            <w:hyperlink r:id="rId26">
              <w:r w:rsidR="00D450E1">
                <w:rPr>
                  <w:rFonts w:ascii="Garamond" w:eastAsia="Garamond" w:hAnsi="Garamond" w:cs="Garamond"/>
                  <w:color w:val="1155CC"/>
                  <w:u w:val="single"/>
                </w:rPr>
                <w:t>IRB Blog | Institutional Review Board</w:t>
              </w:r>
            </w:hyperlink>
          </w:p>
          <w:p w14:paraId="71EAFE47" w14:textId="77777777" w:rsidR="00D03D64" w:rsidRDefault="00D03D64">
            <w:pPr>
              <w:rPr>
                <w:rFonts w:ascii="Garamond" w:eastAsia="Garamond" w:hAnsi="Garamond" w:cs="Garamond"/>
              </w:rPr>
            </w:pPr>
          </w:p>
          <w:p w14:paraId="5F29E6B3" w14:textId="77777777" w:rsidR="00D03D64" w:rsidRDefault="00000000">
            <w:pPr>
              <w:widowControl w:val="0"/>
              <w:numPr>
                <w:ilvl w:val="0"/>
                <w:numId w:val="5"/>
              </w:numPr>
              <w:pBdr>
                <w:top w:val="nil"/>
                <w:left w:val="nil"/>
                <w:bottom w:val="nil"/>
                <w:right w:val="nil"/>
                <w:between w:val="nil"/>
              </w:pBdr>
              <w:ind w:right="118" w:hanging="360"/>
              <w:rPr>
                <w:rFonts w:ascii="Garamond" w:eastAsia="Garamond" w:hAnsi="Garamond" w:cs="Garamond"/>
                <w:color w:val="1155CC"/>
              </w:rPr>
            </w:pPr>
            <w:hyperlink r:id="rId27">
              <w:r w:rsidR="00D450E1">
                <w:rPr>
                  <w:rFonts w:ascii="Garamond" w:eastAsia="Garamond" w:hAnsi="Garamond" w:cs="Garamond"/>
                  <w:color w:val="1155CC"/>
                  <w:u w:val="single"/>
                </w:rPr>
                <w:t>Research Compliance and Safety | Campus Life During COVID-19 | Preparedness</w:t>
              </w:r>
            </w:hyperlink>
          </w:p>
        </w:tc>
      </w:tr>
      <w:tr w:rsidR="00D03D64" w14:paraId="61BFC26E" w14:textId="77777777">
        <w:trPr>
          <w:trHeight w:val="317"/>
        </w:trPr>
        <w:tc>
          <w:tcPr>
            <w:tcW w:w="9350" w:type="dxa"/>
            <w:gridSpan w:val="2"/>
            <w:vMerge/>
            <w:shd w:val="clear" w:color="auto" w:fill="auto"/>
            <w:tcMar>
              <w:top w:w="100" w:type="dxa"/>
              <w:left w:w="100" w:type="dxa"/>
              <w:bottom w:w="100" w:type="dxa"/>
              <w:right w:w="100" w:type="dxa"/>
            </w:tcMar>
          </w:tcPr>
          <w:p w14:paraId="1DB91DFA" w14:textId="77777777" w:rsidR="00D03D64" w:rsidRDefault="00D03D64">
            <w:pPr>
              <w:widowControl w:val="0"/>
              <w:pBdr>
                <w:top w:val="nil"/>
                <w:left w:val="nil"/>
                <w:bottom w:val="nil"/>
                <w:right w:val="nil"/>
                <w:between w:val="nil"/>
              </w:pBdr>
              <w:spacing w:line="276" w:lineRule="auto"/>
              <w:rPr>
                <w:rFonts w:ascii="Garamond" w:eastAsia="Garamond" w:hAnsi="Garamond" w:cs="Garamond"/>
                <w:color w:val="1155CC"/>
              </w:rPr>
            </w:pPr>
          </w:p>
        </w:tc>
      </w:tr>
    </w:tbl>
    <w:p w14:paraId="1492E229" w14:textId="77777777" w:rsidR="00D03D64" w:rsidRDefault="00D03D64">
      <w:pPr>
        <w:widowControl w:val="0"/>
        <w:pBdr>
          <w:top w:val="nil"/>
          <w:left w:val="nil"/>
          <w:bottom w:val="nil"/>
          <w:right w:val="nil"/>
          <w:between w:val="nil"/>
        </w:pBdr>
        <w:rPr>
          <w:color w:val="000000"/>
        </w:rPr>
      </w:pPr>
    </w:p>
    <w:sectPr w:rsidR="00D03D64">
      <w:footerReference w:type="default" r:id="rId28"/>
      <w:pgSz w:w="12240" w:h="15840"/>
      <w:pgMar w:top="590" w:right="1536" w:bottom="1032" w:left="142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A13D" w14:textId="77777777" w:rsidR="00CA2863" w:rsidRDefault="00CA2863">
      <w:pPr>
        <w:spacing w:line="240" w:lineRule="auto"/>
      </w:pPr>
      <w:r>
        <w:separator/>
      </w:r>
    </w:p>
  </w:endnote>
  <w:endnote w:type="continuationSeparator" w:id="0">
    <w:p w14:paraId="044A3815" w14:textId="77777777" w:rsidR="00CA2863" w:rsidRDefault="00CA2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1204" w14:textId="77777777" w:rsidR="00D03D64" w:rsidRDefault="00D450E1">
    <w:pPr>
      <w:pBdr>
        <w:top w:val="nil"/>
        <w:left w:val="nil"/>
        <w:bottom w:val="nil"/>
        <w:right w:val="nil"/>
        <w:between w:val="nil"/>
      </w:pBdr>
      <w:tabs>
        <w:tab w:val="center" w:pos="4320"/>
        <w:tab w:val="right" w:pos="8640"/>
      </w:tabs>
      <w:jc w:val="right"/>
    </w:pPr>
    <w:r>
      <w:rPr>
        <w:rFonts w:ascii="Calibri" w:eastAsia="Calibri" w:hAnsi="Calibri" w:cs="Calibri"/>
        <w:noProof/>
      </w:rPr>
      <w:drawing>
        <wp:inline distT="0" distB="0" distL="0" distR="0" wp14:anchorId="7F38FC9B" wp14:editId="483FBABF">
          <wp:extent cx="5486400" cy="508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0" cy="508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7D0D" w14:textId="77777777" w:rsidR="00CA2863" w:rsidRDefault="00CA2863">
      <w:pPr>
        <w:spacing w:line="240" w:lineRule="auto"/>
      </w:pPr>
      <w:r>
        <w:separator/>
      </w:r>
    </w:p>
  </w:footnote>
  <w:footnote w:type="continuationSeparator" w:id="0">
    <w:p w14:paraId="21D9FDF3" w14:textId="77777777" w:rsidR="00CA2863" w:rsidRDefault="00CA28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7AD0"/>
    <w:multiLevelType w:val="multilevel"/>
    <w:tmpl w:val="C0F03716"/>
    <w:lvl w:ilvl="0">
      <w:start w:val="1"/>
      <w:numFmt w:val="bullet"/>
      <w:lvlText w:val="●"/>
      <w:lvlJc w:val="left"/>
      <w:pPr>
        <w:ind w:left="835" w:hanging="360"/>
      </w:pPr>
      <w:rPr>
        <w:rFonts w:ascii="Noto Sans Symbols" w:eastAsia="Noto Sans Symbols" w:hAnsi="Noto Sans Symbols" w:cs="Noto Sans Symbols"/>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 w15:restartNumberingAfterBreak="0">
    <w:nsid w:val="1A206CA1"/>
    <w:multiLevelType w:val="multilevel"/>
    <w:tmpl w:val="37ECE274"/>
    <w:lvl w:ilvl="0">
      <w:start w:val="1"/>
      <w:numFmt w:val="bullet"/>
      <w:lvlText w:val="●"/>
      <w:lvlJc w:val="left"/>
      <w:pPr>
        <w:ind w:left="836" w:hanging="360"/>
      </w:pPr>
      <w:rPr>
        <w:rFonts w:ascii="Noto Sans Symbols" w:eastAsia="Noto Sans Symbols" w:hAnsi="Noto Sans Symbols" w:cs="Noto Sans Symbols"/>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2" w15:restartNumberingAfterBreak="0">
    <w:nsid w:val="22D17130"/>
    <w:multiLevelType w:val="multilevel"/>
    <w:tmpl w:val="391E7C66"/>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 w15:restartNumberingAfterBreak="0">
    <w:nsid w:val="2CDF14E8"/>
    <w:multiLevelType w:val="multilevel"/>
    <w:tmpl w:val="9A367BB4"/>
    <w:lvl w:ilvl="0">
      <w:start w:val="1"/>
      <w:numFmt w:val="bullet"/>
      <w:lvlText w:val="●"/>
      <w:lvlJc w:val="left"/>
      <w:pPr>
        <w:ind w:left="834" w:hanging="359"/>
      </w:pPr>
      <w:rPr>
        <w:rFonts w:ascii="Noto Sans Symbols" w:eastAsia="Noto Sans Symbols" w:hAnsi="Noto Sans Symbols" w:cs="Noto Sans Symbols"/>
      </w:rPr>
    </w:lvl>
    <w:lvl w:ilvl="1">
      <w:start w:val="1"/>
      <w:numFmt w:val="bullet"/>
      <w:lvlText w:val="o"/>
      <w:lvlJc w:val="left"/>
      <w:pPr>
        <w:ind w:left="1554" w:hanging="360"/>
      </w:pPr>
      <w:rPr>
        <w:rFonts w:ascii="Courier New" w:eastAsia="Courier New" w:hAnsi="Courier New" w:cs="Courier New"/>
      </w:rPr>
    </w:lvl>
    <w:lvl w:ilvl="2">
      <w:start w:val="1"/>
      <w:numFmt w:val="bullet"/>
      <w:lvlText w:val="▪"/>
      <w:lvlJc w:val="left"/>
      <w:pPr>
        <w:ind w:left="2274" w:hanging="360"/>
      </w:pPr>
      <w:rPr>
        <w:rFonts w:ascii="Noto Sans Symbols" w:eastAsia="Noto Sans Symbols" w:hAnsi="Noto Sans Symbols" w:cs="Noto Sans Symbols"/>
      </w:rPr>
    </w:lvl>
    <w:lvl w:ilvl="3">
      <w:start w:val="1"/>
      <w:numFmt w:val="bullet"/>
      <w:lvlText w:val="●"/>
      <w:lvlJc w:val="left"/>
      <w:pPr>
        <w:ind w:left="2994" w:hanging="360"/>
      </w:pPr>
      <w:rPr>
        <w:rFonts w:ascii="Noto Sans Symbols" w:eastAsia="Noto Sans Symbols" w:hAnsi="Noto Sans Symbols" w:cs="Noto Sans Symbols"/>
      </w:rPr>
    </w:lvl>
    <w:lvl w:ilvl="4">
      <w:start w:val="1"/>
      <w:numFmt w:val="bullet"/>
      <w:lvlText w:val="o"/>
      <w:lvlJc w:val="left"/>
      <w:pPr>
        <w:ind w:left="3714" w:hanging="360"/>
      </w:pPr>
      <w:rPr>
        <w:rFonts w:ascii="Courier New" w:eastAsia="Courier New" w:hAnsi="Courier New" w:cs="Courier New"/>
      </w:rPr>
    </w:lvl>
    <w:lvl w:ilvl="5">
      <w:start w:val="1"/>
      <w:numFmt w:val="bullet"/>
      <w:lvlText w:val="▪"/>
      <w:lvlJc w:val="left"/>
      <w:pPr>
        <w:ind w:left="4434" w:hanging="360"/>
      </w:pPr>
      <w:rPr>
        <w:rFonts w:ascii="Noto Sans Symbols" w:eastAsia="Noto Sans Symbols" w:hAnsi="Noto Sans Symbols" w:cs="Noto Sans Symbols"/>
      </w:rPr>
    </w:lvl>
    <w:lvl w:ilvl="6">
      <w:start w:val="1"/>
      <w:numFmt w:val="bullet"/>
      <w:lvlText w:val="●"/>
      <w:lvlJc w:val="left"/>
      <w:pPr>
        <w:ind w:left="5154" w:hanging="360"/>
      </w:pPr>
      <w:rPr>
        <w:rFonts w:ascii="Noto Sans Symbols" w:eastAsia="Noto Sans Symbols" w:hAnsi="Noto Sans Symbols" w:cs="Noto Sans Symbols"/>
      </w:rPr>
    </w:lvl>
    <w:lvl w:ilvl="7">
      <w:start w:val="1"/>
      <w:numFmt w:val="bullet"/>
      <w:lvlText w:val="o"/>
      <w:lvlJc w:val="left"/>
      <w:pPr>
        <w:ind w:left="5874" w:hanging="360"/>
      </w:pPr>
      <w:rPr>
        <w:rFonts w:ascii="Courier New" w:eastAsia="Courier New" w:hAnsi="Courier New" w:cs="Courier New"/>
      </w:rPr>
    </w:lvl>
    <w:lvl w:ilvl="8">
      <w:start w:val="1"/>
      <w:numFmt w:val="bullet"/>
      <w:lvlText w:val="▪"/>
      <w:lvlJc w:val="left"/>
      <w:pPr>
        <w:ind w:left="6594" w:hanging="360"/>
      </w:pPr>
      <w:rPr>
        <w:rFonts w:ascii="Noto Sans Symbols" w:eastAsia="Noto Sans Symbols" w:hAnsi="Noto Sans Symbols" w:cs="Noto Sans Symbols"/>
      </w:rPr>
    </w:lvl>
  </w:abstractNum>
  <w:abstractNum w:abstractNumId="4" w15:restartNumberingAfterBreak="0">
    <w:nsid w:val="4D7D76F7"/>
    <w:multiLevelType w:val="multilevel"/>
    <w:tmpl w:val="7678579A"/>
    <w:lvl w:ilvl="0">
      <w:start w:val="1"/>
      <w:numFmt w:val="bullet"/>
      <w:lvlText w:val="●"/>
      <w:lvlJc w:val="left"/>
      <w:pPr>
        <w:ind w:left="843" w:hanging="360"/>
      </w:pPr>
      <w:rPr>
        <w:rFonts w:ascii="Noto Sans Symbols" w:eastAsia="Noto Sans Symbols" w:hAnsi="Noto Sans Symbols" w:cs="Noto Sans Symbols"/>
      </w:rPr>
    </w:lvl>
    <w:lvl w:ilvl="1">
      <w:start w:val="1"/>
      <w:numFmt w:val="bullet"/>
      <w:lvlText w:val="o"/>
      <w:lvlJc w:val="left"/>
      <w:pPr>
        <w:ind w:left="1563" w:hanging="360"/>
      </w:pPr>
      <w:rPr>
        <w:rFonts w:ascii="Courier New" w:eastAsia="Courier New" w:hAnsi="Courier New" w:cs="Courier New"/>
      </w:rPr>
    </w:lvl>
    <w:lvl w:ilvl="2">
      <w:start w:val="1"/>
      <w:numFmt w:val="bullet"/>
      <w:lvlText w:val="▪"/>
      <w:lvlJc w:val="left"/>
      <w:pPr>
        <w:ind w:left="2283" w:hanging="360"/>
      </w:pPr>
      <w:rPr>
        <w:rFonts w:ascii="Noto Sans Symbols" w:eastAsia="Noto Sans Symbols" w:hAnsi="Noto Sans Symbols" w:cs="Noto Sans Symbols"/>
      </w:rPr>
    </w:lvl>
    <w:lvl w:ilvl="3">
      <w:start w:val="1"/>
      <w:numFmt w:val="bullet"/>
      <w:lvlText w:val="●"/>
      <w:lvlJc w:val="left"/>
      <w:pPr>
        <w:ind w:left="3003" w:hanging="360"/>
      </w:pPr>
      <w:rPr>
        <w:rFonts w:ascii="Noto Sans Symbols" w:eastAsia="Noto Sans Symbols" w:hAnsi="Noto Sans Symbols" w:cs="Noto Sans Symbols"/>
      </w:rPr>
    </w:lvl>
    <w:lvl w:ilvl="4">
      <w:start w:val="1"/>
      <w:numFmt w:val="bullet"/>
      <w:lvlText w:val="o"/>
      <w:lvlJc w:val="left"/>
      <w:pPr>
        <w:ind w:left="3723" w:hanging="360"/>
      </w:pPr>
      <w:rPr>
        <w:rFonts w:ascii="Courier New" w:eastAsia="Courier New" w:hAnsi="Courier New" w:cs="Courier New"/>
      </w:rPr>
    </w:lvl>
    <w:lvl w:ilvl="5">
      <w:start w:val="1"/>
      <w:numFmt w:val="bullet"/>
      <w:lvlText w:val="▪"/>
      <w:lvlJc w:val="left"/>
      <w:pPr>
        <w:ind w:left="4443" w:hanging="360"/>
      </w:pPr>
      <w:rPr>
        <w:rFonts w:ascii="Noto Sans Symbols" w:eastAsia="Noto Sans Symbols" w:hAnsi="Noto Sans Symbols" w:cs="Noto Sans Symbols"/>
      </w:rPr>
    </w:lvl>
    <w:lvl w:ilvl="6">
      <w:start w:val="1"/>
      <w:numFmt w:val="bullet"/>
      <w:lvlText w:val="●"/>
      <w:lvlJc w:val="left"/>
      <w:pPr>
        <w:ind w:left="5163" w:hanging="360"/>
      </w:pPr>
      <w:rPr>
        <w:rFonts w:ascii="Noto Sans Symbols" w:eastAsia="Noto Sans Symbols" w:hAnsi="Noto Sans Symbols" w:cs="Noto Sans Symbols"/>
      </w:rPr>
    </w:lvl>
    <w:lvl w:ilvl="7">
      <w:start w:val="1"/>
      <w:numFmt w:val="bullet"/>
      <w:lvlText w:val="o"/>
      <w:lvlJc w:val="left"/>
      <w:pPr>
        <w:ind w:left="5883" w:hanging="360"/>
      </w:pPr>
      <w:rPr>
        <w:rFonts w:ascii="Courier New" w:eastAsia="Courier New" w:hAnsi="Courier New" w:cs="Courier New"/>
      </w:rPr>
    </w:lvl>
    <w:lvl w:ilvl="8">
      <w:start w:val="1"/>
      <w:numFmt w:val="bullet"/>
      <w:lvlText w:val="▪"/>
      <w:lvlJc w:val="left"/>
      <w:pPr>
        <w:ind w:left="6603" w:hanging="360"/>
      </w:pPr>
      <w:rPr>
        <w:rFonts w:ascii="Noto Sans Symbols" w:eastAsia="Noto Sans Symbols" w:hAnsi="Noto Sans Symbols" w:cs="Noto Sans Symbols"/>
      </w:rPr>
    </w:lvl>
  </w:abstractNum>
  <w:abstractNum w:abstractNumId="5" w15:restartNumberingAfterBreak="0">
    <w:nsid w:val="4DAD2E2D"/>
    <w:multiLevelType w:val="multilevel"/>
    <w:tmpl w:val="3F169504"/>
    <w:lvl w:ilvl="0">
      <w:start w:val="1"/>
      <w:numFmt w:val="bullet"/>
      <w:lvlText w:val="●"/>
      <w:lvlJc w:val="left"/>
      <w:pPr>
        <w:ind w:left="837" w:hanging="360"/>
      </w:pPr>
      <w:rPr>
        <w:rFonts w:ascii="Noto Sans Symbols" w:eastAsia="Noto Sans Symbols" w:hAnsi="Noto Sans Symbols" w:cs="Noto Sans Symbols"/>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abstractNum w:abstractNumId="6" w15:restartNumberingAfterBreak="0">
    <w:nsid w:val="675E4979"/>
    <w:multiLevelType w:val="multilevel"/>
    <w:tmpl w:val="BDC24A0A"/>
    <w:lvl w:ilvl="0">
      <w:start w:val="1"/>
      <w:numFmt w:val="bullet"/>
      <w:lvlText w:val="●"/>
      <w:lvlJc w:val="left"/>
      <w:pPr>
        <w:ind w:left="834" w:hanging="359"/>
      </w:pPr>
      <w:rPr>
        <w:rFonts w:ascii="Noto Sans Symbols" w:eastAsia="Noto Sans Symbols" w:hAnsi="Noto Sans Symbols" w:cs="Noto Sans Symbols"/>
      </w:rPr>
    </w:lvl>
    <w:lvl w:ilvl="1">
      <w:start w:val="1"/>
      <w:numFmt w:val="bullet"/>
      <w:lvlText w:val="o"/>
      <w:lvlJc w:val="left"/>
      <w:pPr>
        <w:ind w:left="1554" w:hanging="360"/>
      </w:pPr>
      <w:rPr>
        <w:rFonts w:ascii="Courier New" w:eastAsia="Courier New" w:hAnsi="Courier New" w:cs="Courier New"/>
      </w:rPr>
    </w:lvl>
    <w:lvl w:ilvl="2">
      <w:start w:val="1"/>
      <w:numFmt w:val="bullet"/>
      <w:lvlText w:val="▪"/>
      <w:lvlJc w:val="left"/>
      <w:pPr>
        <w:ind w:left="2274" w:hanging="360"/>
      </w:pPr>
      <w:rPr>
        <w:rFonts w:ascii="Noto Sans Symbols" w:eastAsia="Noto Sans Symbols" w:hAnsi="Noto Sans Symbols" w:cs="Noto Sans Symbols"/>
      </w:rPr>
    </w:lvl>
    <w:lvl w:ilvl="3">
      <w:start w:val="1"/>
      <w:numFmt w:val="bullet"/>
      <w:lvlText w:val="●"/>
      <w:lvlJc w:val="left"/>
      <w:pPr>
        <w:ind w:left="2994" w:hanging="360"/>
      </w:pPr>
      <w:rPr>
        <w:rFonts w:ascii="Noto Sans Symbols" w:eastAsia="Noto Sans Symbols" w:hAnsi="Noto Sans Symbols" w:cs="Noto Sans Symbols"/>
      </w:rPr>
    </w:lvl>
    <w:lvl w:ilvl="4">
      <w:start w:val="1"/>
      <w:numFmt w:val="bullet"/>
      <w:lvlText w:val="o"/>
      <w:lvlJc w:val="left"/>
      <w:pPr>
        <w:ind w:left="3714" w:hanging="360"/>
      </w:pPr>
      <w:rPr>
        <w:rFonts w:ascii="Courier New" w:eastAsia="Courier New" w:hAnsi="Courier New" w:cs="Courier New"/>
      </w:rPr>
    </w:lvl>
    <w:lvl w:ilvl="5">
      <w:start w:val="1"/>
      <w:numFmt w:val="bullet"/>
      <w:lvlText w:val="▪"/>
      <w:lvlJc w:val="left"/>
      <w:pPr>
        <w:ind w:left="4434" w:hanging="360"/>
      </w:pPr>
      <w:rPr>
        <w:rFonts w:ascii="Noto Sans Symbols" w:eastAsia="Noto Sans Symbols" w:hAnsi="Noto Sans Symbols" w:cs="Noto Sans Symbols"/>
      </w:rPr>
    </w:lvl>
    <w:lvl w:ilvl="6">
      <w:start w:val="1"/>
      <w:numFmt w:val="bullet"/>
      <w:lvlText w:val="●"/>
      <w:lvlJc w:val="left"/>
      <w:pPr>
        <w:ind w:left="5154" w:hanging="360"/>
      </w:pPr>
      <w:rPr>
        <w:rFonts w:ascii="Noto Sans Symbols" w:eastAsia="Noto Sans Symbols" w:hAnsi="Noto Sans Symbols" w:cs="Noto Sans Symbols"/>
      </w:rPr>
    </w:lvl>
    <w:lvl w:ilvl="7">
      <w:start w:val="1"/>
      <w:numFmt w:val="bullet"/>
      <w:lvlText w:val="o"/>
      <w:lvlJc w:val="left"/>
      <w:pPr>
        <w:ind w:left="5874" w:hanging="360"/>
      </w:pPr>
      <w:rPr>
        <w:rFonts w:ascii="Courier New" w:eastAsia="Courier New" w:hAnsi="Courier New" w:cs="Courier New"/>
      </w:rPr>
    </w:lvl>
    <w:lvl w:ilvl="8">
      <w:start w:val="1"/>
      <w:numFmt w:val="bullet"/>
      <w:lvlText w:val="▪"/>
      <w:lvlJc w:val="left"/>
      <w:pPr>
        <w:ind w:left="6594" w:hanging="360"/>
      </w:pPr>
      <w:rPr>
        <w:rFonts w:ascii="Noto Sans Symbols" w:eastAsia="Noto Sans Symbols" w:hAnsi="Noto Sans Symbols" w:cs="Noto Sans Symbols"/>
      </w:rPr>
    </w:lvl>
  </w:abstractNum>
  <w:abstractNum w:abstractNumId="7" w15:restartNumberingAfterBreak="0">
    <w:nsid w:val="74EC4D42"/>
    <w:multiLevelType w:val="multilevel"/>
    <w:tmpl w:val="62A6CFCE"/>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num w:numId="1" w16cid:durableId="771978812">
    <w:abstractNumId w:val="4"/>
  </w:num>
  <w:num w:numId="2" w16cid:durableId="1064722973">
    <w:abstractNumId w:val="1"/>
  </w:num>
  <w:num w:numId="3" w16cid:durableId="85198927">
    <w:abstractNumId w:val="0"/>
  </w:num>
  <w:num w:numId="4" w16cid:durableId="884871631">
    <w:abstractNumId w:val="5"/>
  </w:num>
  <w:num w:numId="5" w16cid:durableId="1476527226">
    <w:abstractNumId w:val="3"/>
  </w:num>
  <w:num w:numId="6" w16cid:durableId="1237203862">
    <w:abstractNumId w:val="2"/>
  </w:num>
  <w:num w:numId="7" w16cid:durableId="1601449380">
    <w:abstractNumId w:val="7"/>
  </w:num>
  <w:num w:numId="8" w16cid:durableId="1358577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64"/>
    <w:rsid w:val="000879B3"/>
    <w:rsid w:val="00CA2863"/>
    <w:rsid w:val="00CD0843"/>
    <w:rsid w:val="00D03D64"/>
    <w:rsid w:val="00D450E1"/>
    <w:rsid w:val="00E6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09EFA3"/>
  <w15:docId w15:val="{2D22DFC9-5225-E042-B153-7F020F1B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72" w:type="dxa"/>
        <w:left w:w="72" w:type="dxa"/>
        <w:bottom w:w="72" w:type="dxa"/>
        <w:right w:w="72"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tc.columbia.edu/media/administration/institutional-review-board-/irb-submission---documents/_IRB-Flyer-Example1.pdf" TargetMode="External"/><Relationship Id="rId18" Type="http://schemas.openxmlformats.org/officeDocument/2006/relationships/hyperlink" Target="https://www.tc.columbia.edu/media/administration/institutional-review-board-/checklists-submission-guides---docs-ppts/Published_TCReviewerQuestions.pdf" TargetMode="External"/><Relationship Id="rId26" Type="http://schemas.openxmlformats.org/officeDocument/2006/relationships/hyperlink" Target="https://www.tc.columbia.edu/institutional-review-board/irb-blog/" TargetMode="External"/><Relationship Id="rId3" Type="http://schemas.openxmlformats.org/officeDocument/2006/relationships/settings" Target="settings.xml"/><Relationship Id="rId21" Type="http://schemas.openxmlformats.org/officeDocument/2006/relationships/hyperlink" Target="https://www.tc.columbia.edu/institutional-review-board/faqs/" TargetMode="External"/><Relationship Id="rId7" Type="http://schemas.openxmlformats.org/officeDocument/2006/relationships/image" Target="media/image1.png"/><Relationship Id="rId12" Type="http://schemas.openxmlformats.org/officeDocument/2006/relationships/hyperlink" Target="https://www.tc.columbia.edu/media/administration/institutional-review-board-/irb-submission---documents/Published_Study-Material-Examples.pdf" TargetMode="External"/><Relationship Id="rId17" Type="http://schemas.openxmlformats.org/officeDocument/2006/relationships/hyperlink" Target="https://www.tc.columbia.edu/preparedness/campus-life-during-covid-19/research-compliance-and-safety/" TargetMode="External"/><Relationship Id="rId25" Type="http://schemas.openxmlformats.org/officeDocument/2006/relationships/hyperlink" Target="https://www.tc.columbia.edu/institutional-review-board/how-to-submit/guides--resources/" TargetMode="External"/><Relationship Id="rId2" Type="http://schemas.openxmlformats.org/officeDocument/2006/relationships/styles" Target="styles.xml"/><Relationship Id="rId16" Type="http://schemas.openxmlformats.org/officeDocument/2006/relationships/hyperlink" Target="https://www.tc.columbia.edu/institutional-review-board/how-to-submit/guides--resources/the-assent-process-with-minors/" TargetMode="External"/><Relationship Id="rId20" Type="http://schemas.openxmlformats.org/officeDocument/2006/relationships/hyperlink" Target="https://www.tc.columbia.edu/institutional-review-board/irb-blog/life-cycle-of-a-protoco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columbia.edu/institutional-review-board/irb-blog/prepare-present--polish/" TargetMode="External"/><Relationship Id="rId24" Type="http://schemas.openxmlformats.org/officeDocument/2006/relationships/hyperlink" Target="https://www.tc.columbia.edu/institutional-review-board/review-categories/" TargetMode="External"/><Relationship Id="rId5" Type="http://schemas.openxmlformats.org/officeDocument/2006/relationships/footnotes" Target="footnotes.xml"/><Relationship Id="rId15" Type="http://schemas.openxmlformats.org/officeDocument/2006/relationships/hyperlink" Target="https://www.tc.columbia.edu/institutional-review-board/how-to-submit/guides--resources/understanding-potential-risks-for-human-subjects-research/" TargetMode="External"/><Relationship Id="rId23" Type="http://schemas.openxmlformats.org/officeDocument/2006/relationships/hyperlink" Target="https://www.tc.columbia.edu/institutional-review-board/how-to-submit/submitting-a-new-protocol/" TargetMode="External"/><Relationship Id="rId28" Type="http://schemas.openxmlformats.org/officeDocument/2006/relationships/footer" Target="footer1.xml"/><Relationship Id="rId10" Type="http://schemas.openxmlformats.org/officeDocument/2006/relationships/hyperlink" Target="https://www.tc.columbia.edu/institutional-review-board/how-to-submit/guides--resources/" TargetMode="External"/><Relationship Id="rId19" Type="http://schemas.openxmlformats.org/officeDocument/2006/relationships/hyperlink" Target="https://www.tc.columbia.edu/institutional-review-board/" TargetMode="External"/><Relationship Id="rId4" Type="http://schemas.openxmlformats.org/officeDocument/2006/relationships/webSettings" Target="webSettings.xml"/><Relationship Id="rId9" Type="http://schemas.openxmlformats.org/officeDocument/2006/relationships/hyperlink" Target="https://www.tc.columbia.edu/institutional-review-board/how-to-submit/before-you-begin/" TargetMode="External"/><Relationship Id="rId14" Type="http://schemas.openxmlformats.org/officeDocument/2006/relationships/hyperlink" Target="https://www.tc.columbia.edu/institutional-review-board/how-to-submit/guides--resources/notes-on-recruitment-materials/" TargetMode="External"/><Relationship Id="rId22" Type="http://schemas.openxmlformats.org/officeDocument/2006/relationships/hyperlink" Target="https://www.tc.columbia.edu/institutional-review-board/training--certification/" TargetMode="External"/><Relationship Id="rId27" Type="http://schemas.openxmlformats.org/officeDocument/2006/relationships/hyperlink" Target="https://www.tc.columbia.edu/preparedness/campus-life-during-covid-19/research-compliance-and-safety/policies--procedures/requirements-and-guidance-for-research-ramp-down/"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Iervasi, Cassidy</cp:lastModifiedBy>
  <cp:revision>2</cp:revision>
  <dcterms:created xsi:type="dcterms:W3CDTF">2022-10-26T17:11:00Z</dcterms:created>
  <dcterms:modified xsi:type="dcterms:W3CDTF">2022-10-26T17:11:00Z</dcterms:modified>
</cp:coreProperties>
</file>