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572E" w14:textId="77777777" w:rsidR="00505BCA" w:rsidRPr="00505BCA" w:rsidRDefault="00505BCA" w:rsidP="00505BCA">
      <w:r>
        <w:rPr>
          <w:noProof/>
        </w:rPr>
        <mc:AlternateContent>
          <mc:Choice Requires="wps">
            <w:drawing>
              <wp:anchor distT="0" distB="0" distL="114300" distR="114300" simplePos="0" relativeHeight="251659264" behindDoc="0" locked="0" layoutInCell="1" allowOverlap="1" wp14:anchorId="11F758CE" wp14:editId="591681C5">
                <wp:simplePos x="0" y="0"/>
                <wp:positionH relativeFrom="column">
                  <wp:posOffset>2562225</wp:posOffset>
                </wp:positionH>
                <wp:positionV relativeFrom="paragraph">
                  <wp:posOffset>139065</wp:posOffset>
                </wp:positionV>
                <wp:extent cx="635" cy="514350"/>
                <wp:effectExtent l="19050" t="19050" r="374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9" o:spid="_x0000_s1026" type="#_x0000_t32" style="position:absolute;margin-left:201.75pt;margin-top:10.95pt;width:.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" strokeweight="2.5pt"/>
            </w:pict>
          </mc:Fallback>
        </mc:AlternateContent>
      </w:r>
    </w:p>
    <w:p w14:paraId="0C896624" w14:textId="77777777" w:rsidR="00505BCA" w:rsidRPr="00505BCA" w:rsidRDefault="00505BCA" w:rsidP="00505BCA">
      <w:r w:rsidRPr="00505BCA">
        <w:t xml:space="preserve">                                                 </w:t>
      </w:r>
      <w:r>
        <w:rPr>
          <w:noProof/>
        </w:rPr>
        <w:drawing>
          <wp:inline distT="0" distB="0" distL="0" distR="0" wp14:anchorId="4F7D3F7A" wp14:editId="12F90E27">
            <wp:extent cx="609600" cy="476885"/>
            <wp:effectExtent l="0" t="0" r="0" b="0"/>
            <wp:docPr id="6" name="Picture 6" descr="Description: 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lumbia crow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76885"/>
                    </a:xfrm>
                    <a:prstGeom prst="rect">
                      <a:avLst/>
                    </a:prstGeom>
                    <a:noFill/>
                    <a:ln>
                      <a:noFill/>
                    </a:ln>
                  </pic:spPr>
                </pic:pic>
              </a:graphicData>
            </a:graphic>
          </wp:inline>
        </w:drawing>
      </w:r>
      <w:r w:rsidRPr="00505BCA">
        <w:t xml:space="preserve">     </w:t>
      </w:r>
      <w:r>
        <w:rPr>
          <w:noProof/>
        </w:rPr>
        <w:drawing>
          <wp:inline distT="0" distB="0" distL="0" distR="0" wp14:anchorId="77A0B80B" wp14:editId="6BC181F1">
            <wp:extent cx="1981200" cy="476885"/>
            <wp:effectExtent l="0" t="0" r="0" b="0"/>
            <wp:docPr id="5" name="Picture 5" descr="Description: 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PSA 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76885"/>
                    </a:xfrm>
                    <a:prstGeom prst="rect">
                      <a:avLst/>
                    </a:prstGeom>
                    <a:noFill/>
                    <a:ln>
                      <a:noFill/>
                    </a:ln>
                  </pic:spPr>
                </pic:pic>
              </a:graphicData>
            </a:graphic>
          </wp:inline>
        </w:drawing>
      </w:r>
      <w:r w:rsidRPr="00505BCA">
        <w:t xml:space="preserve"> </w:t>
      </w:r>
    </w:p>
    <w:p w14:paraId="0E20322C" w14:textId="77777777" w:rsidR="00505BCA" w:rsidRPr="00505BCA" w:rsidRDefault="00505BCA" w:rsidP="00505BCA">
      <w:pPr>
        <w:tabs>
          <w:tab w:val="left" w:pos="3015"/>
        </w:tabs>
      </w:pPr>
      <w:r>
        <w:rPr>
          <w:noProof/>
        </w:rPr>
        <mc:AlternateContent>
          <mc:Choice Requires="wps">
            <w:drawing>
              <wp:anchor distT="0" distB="0" distL="114300" distR="114300" simplePos="0" relativeHeight="251660288" behindDoc="1" locked="0" layoutInCell="1" allowOverlap="1" wp14:anchorId="79A2F5CE" wp14:editId="7BBCD864">
                <wp:simplePos x="0" y="0"/>
                <wp:positionH relativeFrom="column">
                  <wp:posOffset>1323975</wp:posOffset>
                </wp:positionH>
                <wp:positionV relativeFrom="paragraph">
                  <wp:posOffset>1905</wp:posOffset>
                </wp:positionV>
                <wp:extent cx="42672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chemeClr val="bg1">
                                  <a:lumMod val="100000"/>
                                  <a:lumOff val="0"/>
                                </a:schemeClr>
                              </a:solidFill>
                              <a:miter lim="800000"/>
                              <a:headEnd/>
                              <a:tailEnd/>
                            </a14:hiddenLine>
                          </a:ext>
                        </a:extLst>
                      </wps:spPr>
                      <wps:txb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9A2F5CE" id="_x0000_t202" coordsize="21600,21600" o:spt="202" path="m0,0l0,21600,21600,21600,21600,0xe">
                <v:stroke joinstyle="miter"/>
                <v:path gradientshapeok="t" o:connecttype="rect"/>
              </v:shapetype>
              <v:shape id="Text Box 8" o:spid="_x0000_s1026" type="#_x0000_t202" style="position:absolute;margin-left:104.25pt;margin-top:.15pt;width:3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" filled="f" stroked="f">
                <v:textbox>
                  <w:txbxContent>
                    <w:p w14:paraId="434732CD" w14:textId="77777777" w:rsidR="00185E34" w:rsidRPr="000A602E" w:rsidRDefault="00185E34" w:rsidP="00505BCA">
                      <w:pPr>
                        <w:rPr>
                          <w:color w:val="548DD4"/>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Pr="00505BCA">
        <w:tab/>
      </w:r>
    </w:p>
    <w:p w14:paraId="04317337" w14:textId="77777777" w:rsidR="00505BCA" w:rsidRPr="00505BCA" w:rsidRDefault="00505BCA" w:rsidP="00505BCA">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1312" behindDoc="1" locked="0" layoutInCell="1" allowOverlap="1" wp14:anchorId="16C67E93" wp14:editId="57F285D2">
                <wp:simplePos x="0" y="0"/>
                <wp:positionH relativeFrom="column">
                  <wp:posOffset>1576705</wp:posOffset>
                </wp:positionH>
                <wp:positionV relativeFrom="paragraph">
                  <wp:posOffset>7620</wp:posOffset>
                </wp:positionV>
                <wp:extent cx="3619500" cy="295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chemeClr val="bg1">
                                  <a:lumMod val="100000"/>
                                  <a:lumOff val="0"/>
                                </a:schemeClr>
                              </a:solidFill>
                              <a:miter lim="800000"/>
                              <a:headEnd/>
                              <a:tailEnd/>
                            </a14:hiddenLine>
                          </a:ext>
                        </a:extLst>
                      </wps:spPr>
                      <wps:txb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6C67E93" id="Text Box 7" o:spid="_x0000_s1027" type="#_x0000_t202" style="position:absolute;left:0;text-align:left;margin-left:124.15pt;margin-top:.6pt;width:28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" filled="f" stroked="f">
                <v:textbox>
                  <w:txbxContent>
                    <w:p w14:paraId="241E0714" w14:textId="77777777" w:rsidR="00185E34" w:rsidRPr="000A602E" w:rsidRDefault="00185E34" w:rsidP="00505BCA">
                      <w:pPr>
                        <w:rPr>
                          <w:color w:val="548DD4"/>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781DC56A" w14:textId="77777777" w:rsidR="00505BCA" w:rsidRPr="00505BCA" w:rsidRDefault="00505BCA" w:rsidP="00505BCA"/>
    <w:p w14:paraId="292B7BCE" w14:textId="77777777" w:rsidR="00505BCA" w:rsidRPr="00505BCA" w:rsidRDefault="00505BCA" w:rsidP="00505BCA"/>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3829362C"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 xml:space="preserve">For incoming Summer/Fall </w:t>
      </w:r>
      <w:r w:rsidR="00682EA8">
        <w:rPr>
          <w:rFonts w:ascii="Arial" w:eastAsia="MS Mincho" w:hAnsi="Arial" w:cs="Arial"/>
          <w:b/>
          <w:bCs/>
          <w:color w:val="000000"/>
        </w:rPr>
        <w:t>202</w:t>
      </w:r>
      <w:r w:rsidR="003D40A4">
        <w:rPr>
          <w:rFonts w:ascii="Arial" w:eastAsia="MS Mincho" w:hAnsi="Arial" w:cs="Arial"/>
          <w:b/>
          <w:bCs/>
          <w:color w:val="000000"/>
        </w:rPr>
        <w:t>3</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392B1BD6"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A37B5C">
        <w:rPr>
          <w:rFonts w:ascii="Arial" w:hAnsi="Arial" w:cs="Arial"/>
          <w:sz w:val="22"/>
          <w:szCs w:val="22"/>
        </w:rPr>
        <w:t xml:space="preserve">. </w:t>
      </w:r>
      <w:r w:rsidR="009819B0">
        <w:rPr>
          <w:rFonts w:ascii="Arial" w:hAnsi="Arial" w:cs="Arial"/>
          <w:sz w:val="22"/>
          <w:szCs w:val="22"/>
        </w:rPr>
        <w:t xml:space="preserve">The </w:t>
      </w:r>
      <w:r w:rsidRPr="007D0DD4">
        <w:rPr>
          <w:rFonts w:ascii="Arial" w:hAnsi="Arial" w:cs="Arial"/>
          <w:sz w:val="22"/>
          <w:szCs w:val="22"/>
        </w:rPr>
        <w:t xml:space="preserve">program will develop students’ skills by drawing on interdisciplinary approaches to policy analysis, including those employed within economics, law, </w:t>
      </w:r>
      <w:r w:rsidR="003D40A4">
        <w:rPr>
          <w:rFonts w:ascii="Arial" w:hAnsi="Arial" w:cs="Arial"/>
          <w:sz w:val="22"/>
          <w:szCs w:val="22"/>
        </w:rPr>
        <w:t xml:space="preserve">history, </w:t>
      </w:r>
      <w:r w:rsidRPr="007D0DD4">
        <w:rPr>
          <w:rFonts w:ascii="Arial" w:hAnsi="Arial" w:cs="Arial"/>
          <w:sz w:val="22"/>
          <w:szCs w:val="22"/>
        </w:rPr>
        <w:t xml:space="preserve">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03CD02B7" w:rsidR="00185E34" w:rsidRPr="007D0DD4" w:rsidRDefault="00505BCA" w:rsidP="00505BCA">
      <w:pPr>
        <w:rPr>
          <w:rFonts w:ascii="Arial" w:hAnsi="Arial" w:cs="Arial"/>
          <w:sz w:val="22"/>
          <w:szCs w:val="22"/>
        </w:rPr>
      </w:pPr>
      <w:r w:rsidRPr="007D0DD4">
        <w:rPr>
          <w:rFonts w:ascii="Arial" w:hAnsi="Arial" w:cs="Arial"/>
          <w:sz w:val="22"/>
          <w:szCs w:val="22"/>
        </w:rPr>
        <w:t xml:space="preserve">Courses are offered in a traditional schedule during the fall and spring, with a limited number of course options available in summer.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w:t>
      </w:r>
      <w:r w:rsidRPr="007D0DD4">
        <w:rPr>
          <w:rFonts w:ascii="Arial" w:hAnsi="Arial" w:cs="Arial"/>
          <w:bCs/>
          <w:color w:val="auto"/>
          <w:sz w:val="22"/>
          <w:szCs w:val="22"/>
        </w:rPr>
        <w:lastRenderedPageBreak/>
        <w:t xml:space="preserve">logic research and skill in applying advanced research techniques, and familiarity with the 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9" w:history="1">
        <w:r w:rsidRPr="00D52C49">
          <w:rPr>
            <w:rStyle w:val="Hyperlink"/>
            <w:rFonts w:asciiTheme="minorHAnsi" w:hAnsiTheme="minorHAnsi"/>
            <w:b/>
            <w:i/>
          </w:rPr>
          <w:t>https://goo.gl/esMBDK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6FE9F6A2"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 xml:space="preserve">All students must pass a written comprehensive examination, typically taken during the semester in which they reach 60 credits. The structure, content, and criteria of assessment for the comprehensive exam are intended to test your broad </w:t>
      </w:r>
      <w:r w:rsidRPr="007D0DD4">
        <w:rPr>
          <w:rFonts w:ascii="Arial" w:hAnsi="Arial" w:cs="Arial"/>
          <w:color w:val="000000"/>
          <w:sz w:val="22"/>
          <w:szCs w:val="22"/>
        </w:rPr>
        <w:lastRenderedPageBreak/>
        <w:t>familiarity with the field and to push you to go deeper, become more sophisticated, and strive for 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0C2CDDFE"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w:t>
      </w:r>
      <w:r w:rsidRPr="007D0DD4">
        <w:rPr>
          <w:rFonts w:ascii="Arial" w:hAnsi="Arial" w:cs="Arial"/>
          <w:sz w:val="22"/>
          <w:szCs w:val="22"/>
        </w:rPr>
        <w:lastRenderedPageBreak/>
        <w:t>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r w:rsidR="003D40A4">
        <w:rPr>
          <w:rFonts w:ascii="Arial" w:hAnsi="Arial" w:cs="Arial"/>
          <w:sz w:val="22"/>
          <w:szCs w:val="22"/>
        </w:rPr>
        <w:t xml:space="preserve"> </w:t>
      </w:r>
      <w:r w:rsidR="003D40A4">
        <w:rPr>
          <w:rFonts w:ascii="Calibri" w:hAnsi="Calibri" w:cs="Calibri"/>
        </w:rPr>
        <w:t xml:space="preserve">(more at </w:t>
      </w:r>
      <w:hyperlink r:id="rId10" w:history="1">
        <w:r w:rsidR="003D40A4">
          <w:rPr>
            <w:rStyle w:val="Hyperlink"/>
            <w:rFonts w:ascii="Calibri" w:hAnsi="Calibri" w:cs="Calibri"/>
          </w:rPr>
          <w:t>Teachers College Policies and Procedures</w:t>
        </w:r>
      </w:hyperlink>
      <w:r w:rsidR="003D40A4">
        <w:rPr>
          <w:rFonts w:ascii="Calibri" w:hAnsi="Calibri" w:cs="Calibri"/>
        </w:rPr>
        <w:t>)</w:t>
      </w:r>
      <w:r w:rsidR="003D40A4">
        <w:rPr>
          <w:rFonts w:ascii="Calibri" w:hAnsi="Calibri" w:cs="Calibri"/>
        </w:rPr>
        <w:t>.</w:t>
      </w:r>
    </w:p>
    <w:sectPr w:rsidR="00FC3973" w:rsidRPr="007D0DD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8995" w14:textId="77777777" w:rsidR="00831206" w:rsidRDefault="00831206" w:rsidP="00ED268A">
      <w:r>
        <w:separator/>
      </w:r>
    </w:p>
  </w:endnote>
  <w:endnote w:type="continuationSeparator" w:id="0">
    <w:p w14:paraId="2D4F05C9" w14:textId="77777777" w:rsidR="00831206" w:rsidRDefault="00831206"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1EB" w14:textId="0BBD6864" w:rsidR="00185E34" w:rsidRDefault="00185E34">
    <w:pPr>
      <w:pStyle w:val="Footer"/>
    </w:pPr>
    <w:r>
      <w:t xml:space="preserve">Last updated: </w:t>
    </w:r>
    <w:r w:rsidR="003D40A4">
      <w:t>March 2023</w:t>
    </w:r>
  </w:p>
  <w:p w14:paraId="1744AC88" w14:textId="77777777" w:rsidR="00185E34" w:rsidRDefault="0018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C519" w14:textId="77777777" w:rsidR="00831206" w:rsidRDefault="00831206" w:rsidP="00ED268A">
      <w:r>
        <w:separator/>
      </w:r>
    </w:p>
  </w:footnote>
  <w:footnote w:type="continuationSeparator" w:id="0">
    <w:p w14:paraId="20B16C85" w14:textId="77777777" w:rsidR="00831206" w:rsidRDefault="00831206" w:rsidP="00E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CA"/>
    <w:rsid w:val="00001A37"/>
    <w:rsid w:val="00053408"/>
    <w:rsid w:val="00053B4F"/>
    <w:rsid w:val="000B67A1"/>
    <w:rsid w:val="00126BB2"/>
    <w:rsid w:val="00132626"/>
    <w:rsid w:val="001369BA"/>
    <w:rsid w:val="00166555"/>
    <w:rsid w:val="00185E34"/>
    <w:rsid w:val="002416B5"/>
    <w:rsid w:val="00287A59"/>
    <w:rsid w:val="00290232"/>
    <w:rsid w:val="002A0D63"/>
    <w:rsid w:val="002E6936"/>
    <w:rsid w:val="00355111"/>
    <w:rsid w:val="00364EA3"/>
    <w:rsid w:val="003D40A4"/>
    <w:rsid w:val="00423C7C"/>
    <w:rsid w:val="0042551C"/>
    <w:rsid w:val="00484458"/>
    <w:rsid w:val="004E0AEA"/>
    <w:rsid w:val="00505BCA"/>
    <w:rsid w:val="00574B6C"/>
    <w:rsid w:val="0062206D"/>
    <w:rsid w:val="00626485"/>
    <w:rsid w:val="00682EA8"/>
    <w:rsid w:val="00755576"/>
    <w:rsid w:val="00760534"/>
    <w:rsid w:val="007D0DD4"/>
    <w:rsid w:val="00831206"/>
    <w:rsid w:val="008E27DE"/>
    <w:rsid w:val="008F5B35"/>
    <w:rsid w:val="009819B0"/>
    <w:rsid w:val="00A37B5C"/>
    <w:rsid w:val="00A52C7A"/>
    <w:rsid w:val="00AF0305"/>
    <w:rsid w:val="00B31B84"/>
    <w:rsid w:val="00B570DF"/>
    <w:rsid w:val="00BE05BF"/>
    <w:rsid w:val="00C36D56"/>
    <w:rsid w:val="00C570E1"/>
    <w:rsid w:val="00C77039"/>
    <w:rsid w:val="00CE5819"/>
    <w:rsid w:val="00DA1646"/>
    <w:rsid w:val="00DD32E3"/>
    <w:rsid w:val="00DF5351"/>
    <w:rsid w:val="00E174AB"/>
    <w:rsid w:val="00E44424"/>
    <w:rsid w:val="00E7689B"/>
    <w:rsid w:val="00ED268A"/>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 w:type="paragraph" w:styleId="FootnoteText">
    <w:name w:val="footnote text"/>
    <w:basedOn w:val="Normal"/>
    <w:link w:val="FootnoteTextChar"/>
    <w:uiPriority w:val="99"/>
    <w:semiHidden/>
    <w:unhideWhenUsed/>
    <w:rsid w:val="002416B5"/>
    <w:rPr>
      <w:sz w:val="20"/>
      <w:szCs w:val="20"/>
    </w:rPr>
  </w:style>
  <w:style w:type="character" w:customStyle="1" w:styleId="FootnoteTextChar">
    <w:name w:val="Footnote Text Char"/>
    <w:basedOn w:val="DefaultParagraphFont"/>
    <w:link w:val="FootnoteText"/>
    <w:uiPriority w:val="99"/>
    <w:semiHidden/>
    <w:rsid w:val="002416B5"/>
    <w:rPr>
      <w:rFonts w:cs="Times New Roman"/>
      <w:sz w:val="20"/>
      <w:szCs w:val="20"/>
    </w:rPr>
  </w:style>
  <w:style w:type="character" w:styleId="FootnoteReference">
    <w:name w:val="footnote reference"/>
    <w:basedOn w:val="DefaultParagraphFont"/>
    <w:uiPriority w:val="99"/>
    <w:semiHidden/>
    <w:unhideWhenUsed/>
    <w:rsid w:val="0024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c.columbia.edu/catalog/policies/" TargetMode="External"/><Relationship Id="rId4" Type="http://schemas.openxmlformats.org/officeDocument/2006/relationships/webSettings" Target="webSettings.xml"/><Relationship Id="rId9" Type="http://schemas.openxmlformats.org/officeDocument/2006/relationships/hyperlink" Target="https://goo.gl/esM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F17-6880-604D-849B-6463F7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4</cp:revision>
  <cp:lastPrinted>2015-04-08T20:44:00Z</cp:lastPrinted>
  <dcterms:created xsi:type="dcterms:W3CDTF">2021-03-23T17:09:00Z</dcterms:created>
  <dcterms:modified xsi:type="dcterms:W3CDTF">2023-03-06T21:40:00Z</dcterms:modified>
</cp:coreProperties>
</file>